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1EBE894F" w:rsidR="00151D15" w:rsidRDefault="009A342A" w:rsidP="00151D15">
      <w:pPr>
        <w:tabs>
          <w:tab w:val="left" w:pos="4063"/>
        </w:tabs>
        <w:rPr>
          <w:rFonts w:ascii="Roboto" w:hAnsi="Roboto"/>
        </w:rPr>
      </w:pPr>
      <w:r>
        <w:rPr>
          <w:rFonts w:ascii="Roboto" w:hAnsi="Roboto"/>
        </w:rPr>
        <w:t>Equal Educational Opportunities 4001</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0C0421C3" w:rsidR="00BC59CF" w:rsidRDefault="004B6E10" w:rsidP="00BC59CF">
      <w:pPr>
        <w:tabs>
          <w:tab w:val="left" w:pos="4063"/>
        </w:tabs>
        <w:rPr>
          <w:rFonts w:ascii="Roboto" w:hAnsi="Roboto"/>
        </w:rPr>
      </w:pPr>
      <w:r>
        <w:rPr>
          <w:rFonts w:ascii="Roboto" w:hAnsi="Roboto"/>
        </w:rPr>
        <w:t xml:space="preserve">The proposed policy </w:t>
      </w:r>
      <w:r w:rsidR="009A342A">
        <w:rPr>
          <w:rFonts w:ascii="Roboto" w:hAnsi="Roboto"/>
        </w:rPr>
        <w:t>affirms ENCSD’s commitment to providing all students with equal access to educational programs, services, and activities in a safe, inclusive, and accessible environment.  The policy ensures that no student is excluded from participation in, denied benefits of, or subjected to discrimination in any educational program or activity.</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6019F0D7" w14:textId="3C840E9C"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t xml:space="preserve">Prohibition of discrimination based on protected characteristics, including race, color, national origin, sex, disability, religion, and other legally protected statuses </w:t>
      </w:r>
    </w:p>
    <w:p w14:paraId="5E395D5E" w14:textId="0ECC048A"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t xml:space="preserve">Assurance of equal access to academic programs, instruction, assessments, and supports </w:t>
      </w:r>
    </w:p>
    <w:p w14:paraId="59BFC340" w14:textId="7C6411A1"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t xml:space="preserve">Equal opportunity to participate in extracurricular and co-curricular activities, with reasonable accommodations as needed </w:t>
      </w:r>
    </w:p>
    <w:p w14:paraId="2CB261DE" w14:textId="1E7EC7AE"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t xml:space="preserve">Equitable access to residential life, including housing, supervision, and services </w:t>
      </w:r>
    </w:p>
    <w:p w14:paraId="52613F8A" w14:textId="53F1F254"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t xml:space="preserve">Provision of a Free Appropriate Public Education (FAPE) for students with disabilities in accordance with applicable law </w:t>
      </w:r>
    </w:p>
    <w:p w14:paraId="77CF6C51" w14:textId="002F4E89"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t xml:space="preserve">Emphasis on language and communication access as essential for Deaf and Hard of Hearing students </w:t>
      </w:r>
    </w:p>
    <w:p w14:paraId="6B7B61CC" w14:textId="36BBDB4C"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t xml:space="preserve">Prohibition of harassment, bullying, intimidation, and retaliation that interferes with educational access </w:t>
      </w:r>
    </w:p>
    <w:p w14:paraId="7763D168" w14:textId="7649F41B"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t xml:space="preserve">Clear reporting procedures through nondiscrimination, Title IX, Section 504, and grievance processes </w:t>
      </w:r>
    </w:p>
    <w:p w14:paraId="2E04397E" w14:textId="350E9344" w:rsidR="00911721" w:rsidRPr="00911721" w:rsidRDefault="00911721" w:rsidP="00911721">
      <w:pPr>
        <w:pStyle w:val="ListParagraph"/>
        <w:numPr>
          <w:ilvl w:val="0"/>
          <w:numId w:val="21"/>
        </w:numPr>
        <w:tabs>
          <w:tab w:val="left" w:pos="4063"/>
        </w:tabs>
        <w:rPr>
          <w:rFonts w:ascii="Roboto" w:eastAsia="Times New Roman" w:hAnsi="Roboto" w:cs="Times New Roman"/>
          <w:kern w:val="0"/>
          <w14:ligatures w14:val="none"/>
        </w:rPr>
      </w:pPr>
      <w:r w:rsidRPr="00911721">
        <w:rPr>
          <w:rFonts w:ascii="Roboto" w:eastAsia="Times New Roman" w:hAnsi="Roboto" w:cs="Times New Roman"/>
          <w:kern w:val="0"/>
          <w14:ligatures w14:val="none"/>
        </w:rPr>
        <w:lastRenderedPageBreak/>
        <w:t>Commitment to staff training focused on equity, accessibility, and effective communication</w:t>
      </w:r>
    </w:p>
    <w:p w14:paraId="65B2784B" w14:textId="35C3A7AC" w:rsidR="009C78F9" w:rsidRDefault="002721EA" w:rsidP="00911721">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5"/>
  </w:num>
  <w:num w:numId="2" w16cid:durableId="1220674254">
    <w:abstractNumId w:val="18"/>
  </w:num>
  <w:num w:numId="3" w16cid:durableId="124930387">
    <w:abstractNumId w:val="8"/>
  </w:num>
  <w:num w:numId="4" w16cid:durableId="863522475">
    <w:abstractNumId w:val="0"/>
  </w:num>
  <w:num w:numId="5" w16cid:durableId="350884258">
    <w:abstractNumId w:val="2"/>
  </w:num>
  <w:num w:numId="6" w16cid:durableId="1269388817">
    <w:abstractNumId w:val="15"/>
  </w:num>
  <w:num w:numId="7" w16cid:durableId="312416018">
    <w:abstractNumId w:val="1"/>
  </w:num>
  <w:num w:numId="8" w16cid:durableId="448626137">
    <w:abstractNumId w:val="9"/>
  </w:num>
  <w:num w:numId="9" w16cid:durableId="726613026">
    <w:abstractNumId w:val="20"/>
  </w:num>
  <w:num w:numId="10" w16cid:durableId="1151870232">
    <w:abstractNumId w:val="11"/>
  </w:num>
  <w:num w:numId="11" w16cid:durableId="920407252">
    <w:abstractNumId w:val="6"/>
  </w:num>
  <w:num w:numId="12" w16cid:durableId="2004307864">
    <w:abstractNumId w:val="16"/>
  </w:num>
  <w:num w:numId="13" w16cid:durableId="506678064">
    <w:abstractNumId w:val="7"/>
  </w:num>
  <w:num w:numId="14" w16cid:durableId="746150987">
    <w:abstractNumId w:val="17"/>
  </w:num>
  <w:num w:numId="15" w16cid:durableId="1453330973">
    <w:abstractNumId w:val="3"/>
  </w:num>
  <w:num w:numId="16" w16cid:durableId="1983608434">
    <w:abstractNumId w:val="4"/>
  </w:num>
  <w:num w:numId="17" w16cid:durableId="117139861">
    <w:abstractNumId w:val="10"/>
  </w:num>
  <w:num w:numId="18" w16cid:durableId="910773187">
    <w:abstractNumId w:val="14"/>
  </w:num>
  <w:num w:numId="19" w16cid:durableId="1317370327">
    <w:abstractNumId w:val="19"/>
  </w:num>
  <w:num w:numId="20" w16cid:durableId="837698420">
    <w:abstractNumId w:val="13"/>
  </w:num>
  <w:num w:numId="21" w16cid:durableId="771434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103888"/>
    <w:rsid w:val="00114ADA"/>
    <w:rsid w:val="00151D15"/>
    <w:rsid w:val="00196118"/>
    <w:rsid w:val="001A11DF"/>
    <w:rsid w:val="001C7FA7"/>
    <w:rsid w:val="001E67F9"/>
    <w:rsid w:val="00210EBD"/>
    <w:rsid w:val="00245DD5"/>
    <w:rsid w:val="002721EA"/>
    <w:rsid w:val="00283806"/>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8D62AD"/>
    <w:rsid w:val="00911721"/>
    <w:rsid w:val="00932932"/>
    <w:rsid w:val="00937D3A"/>
    <w:rsid w:val="00946A49"/>
    <w:rsid w:val="00965422"/>
    <w:rsid w:val="009710A4"/>
    <w:rsid w:val="00994936"/>
    <w:rsid w:val="00996039"/>
    <w:rsid w:val="009A342A"/>
    <w:rsid w:val="009B6218"/>
    <w:rsid w:val="009C1380"/>
    <w:rsid w:val="009C78F9"/>
    <w:rsid w:val="009D0D25"/>
    <w:rsid w:val="009E34AD"/>
    <w:rsid w:val="00A23608"/>
    <w:rsid w:val="00A24AE0"/>
    <w:rsid w:val="00A9546F"/>
    <w:rsid w:val="00A95C30"/>
    <w:rsid w:val="00AB4484"/>
    <w:rsid w:val="00AF00FA"/>
    <w:rsid w:val="00B4450B"/>
    <w:rsid w:val="00B46C11"/>
    <w:rsid w:val="00B53491"/>
    <w:rsid w:val="00B604FB"/>
    <w:rsid w:val="00B770A6"/>
    <w:rsid w:val="00B801AC"/>
    <w:rsid w:val="00BB1178"/>
    <w:rsid w:val="00BB25F2"/>
    <w:rsid w:val="00BC59CF"/>
    <w:rsid w:val="00BD0C5E"/>
    <w:rsid w:val="00C03BCC"/>
    <w:rsid w:val="00C234C8"/>
    <w:rsid w:val="00C62327"/>
    <w:rsid w:val="00D70ADD"/>
    <w:rsid w:val="00D71134"/>
    <w:rsid w:val="00DC0BFD"/>
    <w:rsid w:val="00DE1763"/>
    <w:rsid w:val="00E15BCA"/>
    <w:rsid w:val="00E2522A"/>
    <w:rsid w:val="00EA1136"/>
    <w:rsid w:val="00EE1BF8"/>
    <w:rsid w:val="00EE3574"/>
    <w:rsid w:val="00F00DBD"/>
    <w:rsid w:val="00F328D3"/>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2026-04-13T18:44:00Z</dcterms:created>
  <dcterms:modified xsi:type="dcterms:W3CDTF">2026-04-13T18:46:00Z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