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3FBB3C73" w:rsidR="0004114E" w:rsidRDefault="009E4F08" w:rsidP="0004114E">
                            <w:pPr>
                              <w:spacing w:after="0"/>
                              <w:jc w:val="center"/>
                              <w:rPr>
                                <w:rFonts w:ascii="Roboto" w:hAnsi="Roboto"/>
                                <w:b/>
                                <w:bCs/>
                                <w:color w:val="265216"/>
                                <w:sz w:val="40"/>
                                <w:szCs w:val="40"/>
                              </w:rPr>
                            </w:pPr>
                            <w:r>
                              <w:rPr>
                                <w:rFonts w:ascii="Roboto" w:hAnsi="Roboto"/>
                                <w:b/>
                                <w:bCs/>
                                <w:color w:val="265216"/>
                                <w:sz w:val="40"/>
                                <w:szCs w:val="40"/>
                              </w:rPr>
                              <w:t>Consultants to the Board</w:t>
                            </w:r>
                          </w:p>
                          <w:p w14:paraId="1D9D22E1" w14:textId="738CF271"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18791D">
                              <w:rPr>
                                <w:rFonts w:ascii="Roboto" w:hAnsi="Roboto"/>
                                <w:b/>
                                <w:bCs/>
                                <w:color w:val="265216"/>
                                <w:sz w:val="40"/>
                                <w:szCs w:val="40"/>
                              </w:rPr>
                              <w:t>6</w:t>
                            </w:r>
                            <w:r w:rsidR="009E4F08">
                              <w:rPr>
                                <w:rFonts w:ascii="Roboto" w:hAnsi="Roboto"/>
                                <w:b/>
                                <w:bCs/>
                                <w:color w:val="265216"/>
                                <w:sz w:val="40"/>
                                <w:szCs w:val="40"/>
                              </w:rPr>
                              <w:t>0</w:t>
                            </w:r>
                            <w:r w:rsidR="0018791D">
                              <w:rPr>
                                <w:rFonts w:ascii="Roboto" w:hAnsi="Roboto"/>
                                <w:b/>
                                <w:bCs/>
                                <w:color w:val="265216"/>
                                <w:sz w:val="40"/>
                                <w:szCs w:val="40"/>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3FBB3C73" w:rsidR="0004114E" w:rsidRDefault="009E4F08" w:rsidP="0004114E">
                      <w:pPr>
                        <w:spacing w:after="0"/>
                        <w:jc w:val="center"/>
                        <w:rPr>
                          <w:rFonts w:ascii="Roboto" w:hAnsi="Roboto"/>
                          <w:b/>
                          <w:bCs/>
                          <w:color w:val="265216"/>
                          <w:sz w:val="40"/>
                          <w:szCs w:val="40"/>
                        </w:rPr>
                      </w:pPr>
                      <w:r>
                        <w:rPr>
                          <w:rFonts w:ascii="Roboto" w:hAnsi="Roboto"/>
                          <w:b/>
                          <w:bCs/>
                          <w:color w:val="265216"/>
                          <w:sz w:val="40"/>
                          <w:szCs w:val="40"/>
                        </w:rPr>
                        <w:t>Consultants to the Board</w:t>
                      </w:r>
                    </w:p>
                    <w:p w14:paraId="1D9D22E1" w14:textId="738CF271"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18791D">
                        <w:rPr>
                          <w:rFonts w:ascii="Roboto" w:hAnsi="Roboto"/>
                          <w:b/>
                          <w:bCs/>
                          <w:color w:val="265216"/>
                          <w:sz w:val="40"/>
                          <w:szCs w:val="40"/>
                        </w:rPr>
                        <w:t>6</w:t>
                      </w:r>
                      <w:r w:rsidR="009E4F08">
                        <w:rPr>
                          <w:rFonts w:ascii="Roboto" w:hAnsi="Roboto"/>
                          <w:b/>
                          <w:bCs/>
                          <w:color w:val="265216"/>
                          <w:sz w:val="40"/>
                          <w:szCs w:val="40"/>
                        </w:rPr>
                        <w:t>0</w:t>
                      </w:r>
                      <w:r w:rsidR="0018791D">
                        <w:rPr>
                          <w:rFonts w:ascii="Roboto" w:hAnsi="Roboto"/>
                          <w:b/>
                          <w:bCs/>
                          <w:color w:val="265216"/>
                          <w:sz w:val="40"/>
                          <w:szCs w:val="40"/>
                        </w:rPr>
                        <w:t>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2A84878A">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43150EC1" w:rsidR="008177D3" w:rsidRDefault="00E65C70" w:rsidP="00784B60">
      <w:pPr>
        <w:pStyle w:val="ListParagraph"/>
        <w:ind w:left="0"/>
        <w:rPr>
          <w:rFonts w:ascii="Roboto" w:hAnsi="Roboto"/>
        </w:rPr>
      </w:pPr>
      <w:r>
        <w:rPr>
          <w:rFonts w:ascii="Roboto" w:hAnsi="Roboto"/>
        </w:rPr>
        <w:t xml:space="preserve">The Eastern North Carolina School for the Deaf (ENCSD) Board of Trustees recognizes </w:t>
      </w:r>
      <w:r w:rsidR="0005193D">
        <w:rPr>
          <w:rFonts w:ascii="Roboto" w:hAnsi="Roboto"/>
        </w:rPr>
        <w:t>that consultants</w:t>
      </w:r>
      <w:r w:rsidR="007E5D1C">
        <w:rPr>
          <w:rFonts w:ascii="Roboto" w:hAnsi="Roboto"/>
        </w:rPr>
        <w:t xml:space="preserve"> may be engaged to provide specialized expertise and professional services to support informed decision-making and effective governance.  This policy establishes the authority, expectations, and limitations related to the use of consultants by the Board in alignment with applicable federal and state laws.</w:t>
      </w:r>
    </w:p>
    <w:p w14:paraId="5565E2B3" w14:textId="73107F80" w:rsidR="00AB7775" w:rsidRPr="00D40F18" w:rsidRDefault="005750D6" w:rsidP="00784B60">
      <w:pPr>
        <w:rPr>
          <w:rFonts w:ascii="Roboto" w:hAnsi="Roboto"/>
        </w:rPr>
      </w:pPr>
      <w:r>
        <w:rPr>
          <w:rFonts w:ascii="Roboto" w:hAnsi="Roboto"/>
        </w:rPr>
        <w:pict w14:anchorId="52E23955">
          <v:rect id="_x0000_i1027" style="width:0;height:1.5pt" o:hrstd="t" o:hr="t" fillcolor="#a0a0a0" stroked="f"/>
        </w:pict>
      </w:r>
    </w:p>
    <w:p w14:paraId="6874D26A" w14:textId="61CC6048"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37EB27B9" w14:textId="73F845DE" w:rsidR="004774E9" w:rsidRPr="004774E9" w:rsidRDefault="004A591A" w:rsidP="004774E9">
      <w:pPr>
        <w:rPr>
          <w:rFonts w:ascii="Roboto" w:hAnsi="Roboto"/>
        </w:rPr>
      </w:pPr>
      <w:r>
        <w:rPr>
          <w:rFonts w:ascii="Roboto" w:hAnsi="Roboto"/>
        </w:rPr>
        <w:t xml:space="preserve">The Board of Trustees </w:t>
      </w:r>
      <w:r w:rsidR="007E5D1C">
        <w:rPr>
          <w:rFonts w:ascii="Roboto" w:hAnsi="Roboto"/>
        </w:rPr>
        <w:t>may</w:t>
      </w:r>
      <w:r>
        <w:rPr>
          <w:rFonts w:ascii="Roboto" w:hAnsi="Roboto"/>
        </w:rPr>
        <w:t xml:space="preserve"> retain </w:t>
      </w:r>
      <w:r w:rsidR="007E5D1C">
        <w:rPr>
          <w:rFonts w:ascii="Roboto" w:hAnsi="Roboto"/>
        </w:rPr>
        <w:t>consultants to advise the Board on specific issues requiring specialized knowledge or skills beyond those available within ENCSD.  Consultants shall serve in an advisory capacity only and shall not exercise administrative authority or decision-making power reserved to the Board or Superintendent.</w:t>
      </w:r>
    </w:p>
    <w:p w14:paraId="1F09021B" w14:textId="5F5F2E1B" w:rsidR="00FC0A71" w:rsidRPr="00FA7F3C" w:rsidRDefault="005750D6" w:rsidP="00FA7F3C">
      <w:pPr>
        <w:rPr>
          <w:rFonts w:ascii="Roboto" w:hAnsi="Roboto"/>
          <w:b/>
          <w:bCs/>
        </w:rPr>
      </w:pPr>
      <w:r>
        <w:pict w14:anchorId="638A454B">
          <v:rect id="_x0000_i1028" style="width:0;height:1.5pt" o:hralign="center" o:hrstd="t" o:hr="t" fillcolor="#a0a0a0" stroked="f"/>
        </w:pict>
      </w:r>
    </w:p>
    <w:p w14:paraId="628B4E63" w14:textId="5B3BD446" w:rsidR="00BF2698" w:rsidRDefault="005D6D45" w:rsidP="00784B60">
      <w:pPr>
        <w:rPr>
          <w:rFonts w:ascii="Roboto" w:hAnsi="Roboto"/>
          <w:b/>
          <w:bCs/>
        </w:rPr>
      </w:pPr>
      <w:r>
        <w:rPr>
          <w:rFonts w:ascii="Roboto" w:hAnsi="Roboto"/>
          <w:b/>
          <w:bCs/>
        </w:rPr>
        <w:t xml:space="preserve">II. </w:t>
      </w:r>
      <w:r w:rsidR="004F522E">
        <w:rPr>
          <w:rFonts w:ascii="Roboto" w:hAnsi="Roboto"/>
          <w:b/>
          <w:bCs/>
        </w:rPr>
        <w:t>Authority to Engage Consultants</w:t>
      </w:r>
    </w:p>
    <w:p w14:paraId="2046C5EF" w14:textId="6341356D" w:rsidR="004212B3" w:rsidRDefault="004212B3" w:rsidP="004F522E">
      <w:pPr>
        <w:pStyle w:val="ListParagraph"/>
        <w:numPr>
          <w:ilvl w:val="0"/>
          <w:numId w:val="3"/>
        </w:numPr>
        <w:rPr>
          <w:rFonts w:ascii="Roboto" w:hAnsi="Roboto"/>
        </w:rPr>
      </w:pPr>
      <w:r>
        <w:rPr>
          <w:rFonts w:ascii="Roboto" w:hAnsi="Roboto"/>
        </w:rPr>
        <w:t xml:space="preserve">The Board of Trustees </w:t>
      </w:r>
      <w:r w:rsidR="004F522E">
        <w:rPr>
          <w:rFonts w:ascii="Roboto" w:hAnsi="Roboto"/>
        </w:rPr>
        <w:t xml:space="preserve">may authorize the engagement of consultants as needed to support Board responsibilities. </w:t>
      </w:r>
    </w:p>
    <w:p w14:paraId="6BA59513" w14:textId="5DCFA890" w:rsidR="004F522E" w:rsidRDefault="004F522E" w:rsidP="004F522E">
      <w:pPr>
        <w:pStyle w:val="ListParagraph"/>
        <w:numPr>
          <w:ilvl w:val="0"/>
          <w:numId w:val="3"/>
        </w:numPr>
        <w:rPr>
          <w:rFonts w:ascii="Roboto" w:hAnsi="Roboto"/>
        </w:rPr>
      </w:pPr>
      <w:r>
        <w:rPr>
          <w:rFonts w:ascii="Roboto" w:hAnsi="Roboto"/>
        </w:rPr>
        <w:t>The Board shall define the scope, purpose, duration, and compensation of consultant services.</w:t>
      </w:r>
    </w:p>
    <w:p w14:paraId="66A1924C" w14:textId="2BB55D1F" w:rsidR="004F522E" w:rsidRPr="005757FC" w:rsidRDefault="004F522E" w:rsidP="004F522E">
      <w:pPr>
        <w:pStyle w:val="ListParagraph"/>
        <w:numPr>
          <w:ilvl w:val="0"/>
          <w:numId w:val="3"/>
        </w:numPr>
        <w:rPr>
          <w:rFonts w:ascii="Roboto" w:hAnsi="Roboto"/>
        </w:rPr>
      </w:pPr>
      <w:r>
        <w:rPr>
          <w:rFonts w:ascii="Roboto" w:hAnsi="Roboto"/>
        </w:rPr>
        <w:t>Consultants shall be engaged in accordance with applicable procurement laws, Board policies, and budgetary constraints.</w:t>
      </w:r>
    </w:p>
    <w:p w14:paraId="6D1D30EE" w14:textId="204718B3" w:rsidR="003B6C80" w:rsidRPr="00BF2698" w:rsidRDefault="005750D6" w:rsidP="00784B60">
      <w:pPr>
        <w:rPr>
          <w:rFonts w:ascii="Roboto" w:hAnsi="Roboto"/>
          <w:b/>
          <w:bCs/>
        </w:rPr>
      </w:pPr>
      <w:r>
        <w:rPr>
          <w:rFonts w:ascii="Roboto" w:hAnsi="Roboto"/>
          <w:b/>
          <w:bCs/>
        </w:rPr>
        <w:pict w14:anchorId="64796BD0">
          <v:rect id="_x0000_i1029" style="width:0;height:1.5pt" o:hralign="center" o:hrstd="t" o:hr="t" fillcolor="#a0a0a0" stroked="f"/>
        </w:pict>
      </w:r>
    </w:p>
    <w:p w14:paraId="43F708AB" w14:textId="77777777" w:rsidR="005750D6" w:rsidRDefault="005750D6" w:rsidP="00784B60">
      <w:pPr>
        <w:rPr>
          <w:rFonts w:ascii="Roboto" w:hAnsi="Roboto"/>
          <w:b/>
          <w:bCs/>
        </w:rPr>
      </w:pPr>
    </w:p>
    <w:p w14:paraId="63161683" w14:textId="77777777" w:rsidR="005750D6" w:rsidRDefault="005750D6" w:rsidP="00784B60">
      <w:pPr>
        <w:rPr>
          <w:rFonts w:ascii="Roboto" w:hAnsi="Roboto"/>
          <w:b/>
          <w:bCs/>
        </w:rPr>
      </w:pPr>
    </w:p>
    <w:p w14:paraId="50BAD4DA" w14:textId="77777777" w:rsidR="005750D6" w:rsidRDefault="005750D6" w:rsidP="00784B60">
      <w:pPr>
        <w:rPr>
          <w:rFonts w:ascii="Roboto" w:hAnsi="Roboto"/>
          <w:b/>
          <w:bCs/>
        </w:rPr>
      </w:pPr>
    </w:p>
    <w:p w14:paraId="6DC1E48C" w14:textId="616A93F4" w:rsidR="00784B60" w:rsidRDefault="00784B60" w:rsidP="00784B60">
      <w:pPr>
        <w:rPr>
          <w:rFonts w:ascii="Roboto" w:hAnsi="Roboto"/>
          <w:b/>
          <w:bCs/>
        </w:rPr>
      </w:pPr>
      <w:r>
        <w:rPr>
          <w:rFonts w:ascii="Roboto" w:hAnsi="Roboto"/>
          <w:b/>
          <w:bCs/>
        </w:rPr>
        <w:lastRenderedPageBreak/>
        <w:t>I</w:t>
      </w:r>
      <w:r w:rsidR="00194F9E">
        <w:rPr>
          <w:rFonts w:ascii="Roboto" w:hAnsi="Roboto"/>
          <w:b/>
          <w:bCs/>
        </w:rPr>
        <w:t>II</w:t>
      </w:r>
      <w:r w:rsidRPr="00784B60">
        <w:rPr>
          <w:rFonts w:ascii="Roboto" w:hAnsi="Roboto"/>
          <w:b/>
          <w:bCs/>
        </w:rPr>
        <w:t xml:space="preserve">. </w:t>
      </w:r>
      <w:r w:rsidR="00A7294B">
        <w:rPr>
          <w:rFonts w:ascii="Roboto" w:hAnsi="Roboto"/>
          <w:b/>
          <w:bCs/>
        </w:rPr>
        <w:t xml:space="preserve">Roles and </w:t>
      </w:r>
      <w:r w:rsidR="004F522E">
        <w:rPr>
          <w:rFonts w:ascii="Roboto" w:hAnsi="Roboto"/>
          <w:b/>
          <w:bCs/>
        </w:rPr>
        <w:t>Limitations of Consultants</w:t>
      </w:r>
    </w:p>
    <w:p w14:paraId="53337D5C" w14:textId="20394996" w:rsidR="000C127D" w:rsidRDefault="004F522E" w:rsidP="001113CA">
      <w:pPr>
        <w:pStyle w:val="ListParagraph"/>
        <w:numPr>
          <w:ilvl w:val="0"/>
          <w:numId w:val="1"/>
        </w:numPr>
        <w:rPr>
          <w:rFonts w:ascii="Roboto" w:hAnsi="Roboto"/>
        </w:rPr>
      </w:pPr>
      <w:r>
        <w:rPr>
          <w:rFonts w:ascii="Roboto" w:hAnsi="Roboto"/>
        </w:rPr>
        <w:t>Consultants shall provide advice, analysis, or recommendations as requested by the Board.</w:t>
      </w:r>
    </w:p>
    <w:p w14:paraId="4371AD1F" w14:textId="39D3AC79" w:rsidR="004F522E" w:rsidRDefault="004F522E" w:rsidP="001113CA">
      <w:pPr>
        <w:pStyle w:val="ListParagraph"/>
        <w:numPr>
          <w:ilvl w:val="0"/>
          <w:numId w:val="1"/>
        </w:numPr>
        <w:rPr>
          <w:rFonts w:ascii="Roboto" w:hAnsi="Roboto"/>
        </w:rPr>
      </w:pPr>
      <w:r>
        <w:rPr>
          <w:rFonts w:ascii="Roboto" w:hAnsi="Roboto"/>
        </w:rPr>
        <w:t>Consultants shall not direct staff, supervise employees, or interfere with the administrative functions of ENCSD.</w:t>
      </w:r>
    </w:p>
    <w:p w14:paraId="0F894289" w14:textId="38C290CB" w:rsidR="004F522E" w:rsidRDefault="004F522E" w:rsidP="001113CA">
      <w:pPr>
        <w:pStyle w:val="ListParagraph"/>
        <w:numPr>
          <w:ilvl w:val="0"/>
          <w:numId w:val="1"/>
        </w:numPr>
        <w:rPr>
          <w:rFonts w:ascii="Roboto" w:hAnsi="Roboto"/>
        </w:rPr>
      </w:pPr>
      <w:r>
        <w:rPr>
          <w:rFonts w:ascii="Roboto" w:hAnsi="Roboto"/>
        </w:rPr>
        <w:t>Consultants shall not represent ENCSD or the Board unless explicitly authorized to do so.</w:t>
      </w:r>
    </w:p>
    <w:p w14:paraId="0C5A3F97" w14:textId="36A553C2" w:rsidR="004F522E" w:rsidRPr="00194F9E" w:rsidRDefault="004F522E" w:rsidP="001113CA">
      <w:pPr>
        <w:pStyle w:val="ListParagraph"/>
        <w:numPr>
          <w:ilvl w:val="0"/>
          <w:numId w:val="1"/>
        </w:numPr>
        <w:rPr>
          <w:rFonts w:ascii="Roboto" w:hAnsi="Roboto"/>
        </w:rPr>
      </w:pPr>
      <w:r>
        <w:rPr>
          <w:rFonts w:ascii="Roboto" w:hAnsi="Roboto"/>
        </w:rPr>
        <w:t>Consultants shall comply with all applicable laws, Board policies, and confidentiality requirements.</w:t>
      </w:r>
    </w:p>
    <w:p w14:paraId="0E5CA464" w14:textId="266DB45B" w:rsidR="00E22530" w:rsidRPr="00640EAB" w:rsidRDefault="005750D6" w:rsidP="00C86E25">
      <w:pPr>
        <w:rPr>
          <w:rFonts w:ascii="Roboto" w:hAnsi="Roboto"/>
        </w:rPr>
      </w:pPr>
      <w:r>
        <w:rPr>
          <w:rFonts w:ascii="Roboto" w:hAnsi="Roboto"/>
          <w:b/>
          <w:bCs/>
        </w:rPr>
        <w:pict w14:anchorId="39A833A0">
          <v:rect id="_x0000_i1030" style="width:0;height:1.5pt" o:hralign="center" o:hrstd="t" o:hr="t" fillcolor="#a0a0a0" stroked="f"/>
        </w:pict>
      </w:r>
    </w:p>
    <w:p w14:paraId="47717391" w14:textId="19062803"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2241B8">
        <w:rPr>
          <w:rFonts w:ascii="Roboto" w:hAnsi="Roboto"/>
          <w:b/>
          <w:bCs/>
        </w:rPr>
        <w:t xml:space="preserve">Relationship to Superintendent and </w:t>
      </w:r>
      <w:r w:rsidR="001023D5">
        <w:rPr>
          <w:rFonts w:ascii="Roboto" w:hAnsi="Roboto"/>
          <w:b/>
          <w:bCs/>
        </w:rPr>
        <w:t>Staff</w:t>
      </w:r>
    </w:p>
    <w:p w14:paraId="22CAB9D1" w14:textId="66450A7A" w:rsidR="002241B8" w:rsidRDefault="001023D5" w:rsidP="001113CA">
      <w:pPr>
        <w:pStyle w:val="ListParagraph"/>
        <w:numPr>
          <w:ilvl w:val="0"/>
          <w:numId w:val="6"/>
        </w:numPr>
        <w:rPr>
          <w:rFonts w:ascii="Roboto" w:hAnsi="Roboto"/>
        </w:rPr>
      </w:pPr>
      <w:r>
        <w:rPr>
          <w:rFonts w:ascii="Roboto" w:hAnsi="Roboto"/>
        </w:rPr>
        <w:t>Consultants engaged by the Board shall not circumvent the authority of the Superintendent or administrative staff.</w:t>
      </w:r>
    </w:p>
    <w:p w14:paraId="539FB58B" w14:textId="109262DD" w:rsidR="001023D5" w:rsidRDefault="001023D5" w:rsidP="001113CA">
      <w:pPr>
        <w:pStyle w:val="ListParagraph"/>
        <w:numPr>
          <w:ilvl w:val="0"/>
          <w:numId w:val="6"/>
        </w:numPr>
        <w:rPr>
          <w:rFonts w:ascii="Roboto" w:hAnsi="Roboto"/>
        </w:rPr>
      </w:pPr>
      <w:r>
        <w:rPr>
          <w:rFonts w:ascii="Roboto" w:hAnsi="Roboto"/>
        </w:rPr>
        <w:t>The Superintendent shall be informed of the engagement of consultants whose work may affect school operations or administration.</w:t>
      </w:r>
    </w:p>
    <w:p w14:paraId="7EEC5DAB" w14:textId="40D663A3" w:rsidR="001023D5" w:rsidRPr="00F802A2" w:rsidRDefault="001023D5" w:rsidP="001113CA">
      <w:pPr>
        <w:pStyle w:val="ListParagraph"/>
        <w:numPr>
          <w:ilvl w:val="0"/>
          <w:numId w:val="6"/>
        </w:numPr>
        <w:rPr>
          <w:rFonts w:ascii="Roboto" w:hAnsi="Roboto"/>
        </w:rPr>
      </w:pPr>
      <w:r>
        <w:rPr>
          <w:rFonts w:ascii="Roboto" w:hAnsi="Roboto"/>
        </w:rPr>
        <w:t>Consultants may interact with staff as necessary to fulfill their duties, consistent with the scope approved by the Board.</w:t>
      </w:r>
    </w:p>
    <w:p w14:paraId="456CB95A" w14:textId="53BB753B" w:rsidR="00D14409" w:rsidRPr="007B3143" w:rsidRDefault="005750D6" w:rsidP="00C86E25">
      <w:pPr>
        <w:rPr>
          <w:rFonts w:ascii="Roboto" w:hAnsi="Roboto"/>
        </w:rPr>
      </w:pPr>
      <w:r>
        <w:rPr>
          <w:rFonts w:ascii="Roboto" w:hAnsi="Roboto"/>
          <w:b/>
          <w:bCs/>
        </w:rPr>
        <w:pict w14:anchorId="7C93F8C4">
          <v:rect id="_x0000_i1031" style="width:0;height:1.5pt" o:hralign="center" o:hrstd="t" o:hr="t" fillcolor="#a0a0a0" stroked="f"/>
        </w:pict>
      </w:r>
    </w:p>
    <w:p w14:paraId="00A6051A" w14:textId="6C0538BD" w:rsidR="00637340" w:rsidRDefault="00637340" w:rsidP="00C86E25">
      <w:pPr>
        <w:rPr>
          <w:rFonts w:ascii="Roboto" w:hAnsi="Roboto"/>
          <w:b/>
          <w:bCs/>
        </w:rPr>
      </w:pPr>
      <w:r>
        <w:rPr>
          <w:rFonts w:ascii="Roboto" w:hAnsi="Roboto"/>
          <w:b/>
          <w:bCs/>
        </w:rPr>
        <w:t xml:space="preserve">V. </w:t>
      </w:r>
      <w:r w:rsidR="002241B8">
        <w:rPr>
          <w:rFonts w:ascii="Roboto" w:hAnsi="Roboto"/>
          <w:b/>
          <w:bCs/>
        </w:rPr>
        <w:t>Accessibility and Effective Communication</w:t>
      </w:r>
      <w:r w:rsidR="00CD6568">
        <w:rPr>
          <w:rFonts w:ascii="Roboto" w:hAnsi="Roboto"/>
          <w:b/>
          <w:bCs/>
        </w:rPr>
        <w:t xml:space="preserve"> </w:t>
      </w:r>
    </w:p>
    <w:p w14:paraId="36E5B7E4" w14:textId="724864B9" w:rsidR="001113CA" w:rsidRPr="002241B8" w:rsidRDefault="001023D5" w:rsidP="002241B8">
      <w:pPr>
        <w:rPr>
          <w:rFonts w:ascii="Roboto" w:hAnsi="Roboto"/>
        </w:rPr>
      </w:pPr>
      <w:r>
        <w:rPr>
          <w:rFonts w:ascii="Roboto" w:hAnsi="Roboto"/>
        </w:rPr>
        <w:t>Consultants engaged by the Board shall support effective communication and accessibility for Deaf and hard of hearing stakeholders when participating in Board meetings, interviews, presentations, or other activities involving ENCSD, consistent with the Americans with Disabilities Act (ADA) and Section 504 of the Rehabilitation Act.</w:t>
      </w:r>
    </w:p>
    <w:p w14:paraId="7C5506D7" w14:textId="0ED7B885" w:rsidR="002A0647" w:rsidRPr="00637340" w:rsidRDefault="005750D6" w:rsidP="00C86E25">
      <w:pPr>
        <w:rPr>
          <w:rFonts w:ascii="Roboto" w:hAnsi="Roboto"/>
        </w:rPr>
      </w:pPr>
      <w:r>
        <w:rPr>
          <w:rFonts w:ascii="Roboto" w:hAnsi="Roboto"/>
          <w:b/>
          <w:bCs/>
        </w:rPr>
        <w:pict w14:anchorId="64F4651B">
          <v:rect id="_x0000_i1032" style="width:0;height:1.5pt" o:hralign="center" o:hrstd="t" o:hr="t" fillcolor="#a0a0a0" stroked="f"/>
        </w:pict>
      </w:r>
    </w:p>
    <w:p w14:paraId="7F3D2DE8" w14:textId="2A8915C5" w:rsidR="00EE6F83" w:rsidRDefault="00EE6F83" w:rsidP="00EE6F83">
      <w:pPr>
        <w:rPr>
          <w:rFonts w:ascii="Roboto" w:hAnsi="Roboto"/>
          <w:b/>
          <w:bCs/>
        </w:rPr>
      </w:pPr>
      <w:r>
        <w:rPr>
          <w:rFonts w:ascii="Roboto" w:hAnsi="Roboto"/>
          <w:b/>
          <w:bCs/>
        </w:rPr>
        <w:t xml:space="preserve">VI. Confidentiality and Ethics </w:t>
      </w:r>
    </w:p>
    <w:p w14:paraId="0D35527B" w14:textId="30301F7F" w:rsidR="00EE6F83" w:rsidRDefault="001023D5" w:rsidP="00EE6F83">
      <w:pPr>
        <w:pStyle w:val="ListParagraph"/>
        <w:numPr>
          <w:ilvl w:val="0"/>
          <w:numId w:val="11"/>
        </w:numPr>
        <w:rPr>
          <w:rFonts w:ascii="Roboto" w:hAnsi="Roboto"/>
        </w:rPr>
      </w:pPr>
      <w:r>
        <w:rPr>
          <w:rFonts w:ascii="Roboto" w:hAnsi="Roboto"/>
        </w:rPr>
        <w:t>Consultants shall maintain confidentiality of information obtained through their engagement consistent with law and contractual terms.</w:t>
      </w:r>
    </w:p>
    <w:p w14:paraId="2A888E28" w14:textId="1B08E230" w:rsidR="001023D5" w:rsidRPr="00EE6F83" w:rsidRDefault="001023D5" w:rsidP="00EE6F83">
      <w:pPr>
        <w:pStyle w:val="ListParagraph"/>
        <w:numPr>
          <w:ilvl w:val="0"/>
          <w:numId w:val="11"/>
        </w:numPr>
        <w:rPr>
          <w:rFonts w:ascii="Roboto" w:hAnsi="Roboto"/>
        </w:rPr>
      </w:pPr>
      <w:r>
        <w:rPr>
          <w:rFonts w:ascii="Roboto" w:hAnsi="Roboto"/>
        </w:rPr>
        <w:t>Consultants shall adhere to applicable ethical standards and avoid conflicts of interest.</w:t>
      </w:r>
    </w:p>
    <w:p w14:paraId="1ABFFEE2" w14:textId="77777777" w:rsidR="00EE6F83" w:rsidRDefault="005750D6" w:rsidP="00EE6F83">
      <w:pPr>
        <w:rPr>
          <w:rFonts w:ascii="Roboto" w:hAnsi="Roboto"/>
          <w:b/>
          <w:bCs/>
        </w:rPr>
      </w:pPr>
      <w:r>
        <w:rPr>
          <w:rFonts w:ascii="Roboto" w:hAnsi="Roboto"/>
          <w:b/>
          <w:bCs/>
        </w:rPr>
        <w:pict w14:anchorId="4D5FA3CE">
          <v:rect id="_x0000_i1033" style="width:0;height:1.5pt" o:hralign="center" o:bullet="t" o:hrstd="t" o:hr="t" fillcolor="#a0a0a0" stroked="f"/>
        </w:pict>
      </w:r>
    </w:p>
    <w:p w14:paraId="626B0F76" w14:textId="2041E377" w:rsidR="00C86E25" w:rsidRDefault="00C86E25" w:rsidP="00EE6F83">
      <w:pPr>
        <w:rPr>
          <w:rFonts w:ascii="Roboto" w:hAnsi="Roboto"/>
          <w:b/>
          <w:bCs/>
        </w:rPr>
      </w:pPr>
      <w:r w:rsidRPr="0012402B">
        <w:rPr>
          <w:rFonts w:ascii="Roboto" w:hAnsi="Roboto"/>
          <w:b/>
          <w:bCs/>
        </w:rPr>
        <w:t>Legal References</w:t>
      </w:r>
    </w:p>
    <w:p w14:paraId="0D572A89" w14:textId="7D8869FD" w:rsidR="00BD3FAA" w:rsidRPr="00BD3FAA" w:rsidRDefault="00BD3FAA" w:rsidP="00BD3FAA">
      <w:pPr>
        <w:pStyle w:val="ListParagraph"/>
        <w:numPr>
          <w:ilvl w:val="0"/>
          <w:numId w:val="17"/>
        </w:numPr>
        <w:rPr>
          <w:rFonts w:ascii="Roboto" w:eastAsiaTheme="majorEastAsia" w:hAnsi="Roboto" w:cs="Times New Roman"/>
          <w:kern w:val="0"/>
          <w14:ligatures w14:val="none"/>
        </w:rPr>
      </w:pPr>
      <w:r w:rsidRPr="00BD3FAA">
        <w:rPr>
          <w:rFonts w:ascii="Roboto" w:eastAsiaTheme="majorEastAsia" w:hAnsi="Roboto" w:cs="Times New Roman"/>
          <w:kern w:val="0"/>
          <w14:ligatures w14:val="none"/>
        </w:rPr>
        <w:t>North Carolina General Statutes §§ 115C-36, 115C-47</w:t>
      </w:r>
    </w:p>
    <w:p w14:paraId="64076EC8" w14:textId="7F65C22A" w:rsidR="00BD3FAA" w:rsidRPr="00BD3FAA" w:rsidRDefault="00BD3FAA" w:rsidP="00BD3FAA">
      <w:pPr>
        <w:pStyle w:val="ListParagraph"/>
        <w:numPr>
          <w:ilvl w:val="0"/>
          <w:numId w:val="17"/>
        </w:numPr>
        <w:rPr>
          <w:rFonts w:ascii="Roboto" w:eastAsiaTheme="majorEastAsia" w:hAnsi="Roboto" w:cs="Times New Roman"/>
          <w:kern w:val="0"/>
          <w14:ligatures w14:val="none"/>
        </w:rPr>
      </w:pPr>
      <w:r w:rsidRPr="00BD3FAA">
        <w:rPr>
          <w:rFonts w:ascii="Roboto" w:eastAsiaTheme="majorEastAsia" w:hAnsi="Roboto" w:cs="Times New Roman"/>
          <w:kern w:val="0"/>
          <w14:ligatures w14:val="none"/>
        </w:rPr>
        <w:lastRenderedPageBreak/>
        <w:t>North Carolina Public Records Law, N.C.G.S. § 132-1 et seq.</w:t>
      </w:r>
    </w:p>
    <w:p w14:paraId="0C31E486" w14:textId="059D7B55" w:rsidR="00BD3FAA" w:rsidRPr="00BD3FAA" w:rsidRDefault="00BD3FAA" w:rsidP="00BD3FAA">
      <w:pPr>
        <w:pStyle w:val="ListParagraph"/>
        <w:numPr>
          <w:ilvl w:val="0"/>
          <w:numId w:val="17"/>
        </w:numPr>
        <w:rPr>
          <w:rFonts w:ascii="Roboto" w:eastAsiaTheme="majorEastAsia" w:hAnsi="Roboto" w:cs="Times New Roman"/>
          <w:kern w:val="0"/>
          <w14:ligatures w14:val="none"/>
        </w:rPr>
      </w:pPr>
      <w:r w:rsidRPr="00BD3FAA">
        <w:rPr>
          <w:rFonts w:ascii="Roboto" w:eastAsiaTheme="majorEastAsia" w:hAnsi="Roboto" w:cs="Times New Roman"/>
          <w:kern w:val="0"/>
          <w14:ligatures w14:val="none"/>
        </w:rPr>
        <w:t>Americans with Disabilities Act (ADA), 42 U.S.C. § 12101 et seq.</w:t>
      </w:r>
    </w:p>
    <w:p w14:paraId="71189170" w14:textId="119CD71E" w:rsidR="00BD3FAA" w:rsidRPr="00BD3FAA" w:rsidRDefault="00BD3FAA" w:rsidP="00BD3FAA">
      <w:pPr>
        <w:pStyle w:val="ListParagraph"/>
        <w:numPr>
          <w:ilvl w:val="0"/>
          <w:numId w:val="17"/>
        </w:numPr>
        <w:rPr>
          <w:rFonts w:ascii="Roboto" w:eastAsiaTheme="majorEastAsia" w:hAnsi="Roboto" w:cs="Times New Roman"/>
          <w:kern w:val="0"/>
          <w14:ligatures w14:val="none"/>
        </w:rPr>
      </w:pPr>
      <w:r w:rsidRPr="00BD3FAA">
        <w:rPr>
          <w:rFonts w:ascii="Roboto" w:eastAsiaTheme="majorEastAsia" w:hAnsi="Roboto" w:cs="Times New Roman"/>
          <w:kern w:val="0"/>
          <w14:ligatures w14:val="none"/>
        </w:rPr>
        <w:t>Section 504 of the Rehabilitation Act of 1973, 29 U.S.C. § 794</w:t>
      </w:r>
    </w:p>
    <w:p w14:paraId="54DF61D0" w14:textId="7EE61836" w:rsidR="00C90621" w:rsidRPr="00BD3FAA" w:rsidRDefault="005750D6" w:rsidP="00BD3FAA">
      <w:pPr>
        <w:rPr>
          <w:rFonts w:ascii="Roboto" w:hAnsi="Roboto"/>
        </w:rPr>
      </w:pPr>
      <w:r>
        <w:pict w14:anchorId="727BCA74">
          <v:rect id="_x0000_i1034"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BCE97" w14:textId="77777777" w:rsidR="00B663EF" w:rsidRDefault="00B663EF" w:rsidP="00C90621">
      <w:pPr>
        <w:spacing w:after="0" w:line="240" w:lineRule="auto"/>
      </w:pPr>
      <w:r>
        <w:separator/>
      </w:r>
    </w:p>
  </w:endnote>
  <w:endnote w:type="continuationSeparator" w:id="0">
    <w:p w14:paraId="5E821F98" w14:textId="77777777" w:rsidR="00B663EF" w:rsidRDefault="00B663EF"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D8AD671"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7A9E2" w14:textId="77777777" w:rsidR="00B663EF" w:rsidRDefault="00B663EF" w:rsidP="00C90621">
      <w:pPr>
        <w:spacing w:after="0" w:line="240" w:lineRule="auto"/>
      </w:pPr>
      <w:r>
        <w:separator/>
      </w:r>
    </w:p>
  </w:footnote>
  <w:footnote w:type="continuationSeparator" w:id="0">
    <w:p w14:paraId="1D457348" w14:textId="77777777" w:rsidR="00B663EF" w:rsidRDefault="00B663EF"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0467CB48" w14:textId="3CFF0F0E" w:rsidR="00C90621" w:rsidRDefault="005750D6">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7E83A566"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16446">
    <w:abstractNumId w:val="15"/>
  </w:num>
  <w:num w:numId="2" w16cid:durableId="952057296">
    <w:abstractNumId w:val="8"/>
  </w:num>
  <w:num w:numId="3" w16cid:durableId="933049767">
    <w:abstractNumId w:val="4"/>
  </w:num>
  <w:num w:numId="4" w16cid:durableId="1757743861">
    <w:abstractNumId w:val="12"/>
  </w:num>
  <w:num w:numId="5" w16cid:durableId="1707827173">
    <w:abstractNumId w:val="6"/>
  </w:num>
  <w:num w:numId="6" w16cid:durableId="1180391154">
    <w:abstractNumId w:val="13"/>
  </w:num>
  <w:num w:numId="7" w16cid:durableId="1726366955">
    <w:abstractNumId w:val="7"/>
  </w:num>
  <w:num w:numId="8" w16cid:durableId="1155727715">
    <w:abstractNumId w:val="11"/>
  </w:num>
  <w:num w:numId="9" w16cid:durableId="1834226005">
    <w:abstractNumId w:val="5"/>
  </w:num>
  <w:num w:numId="10" w16cid:durableId="688794408">
    <w:abstractNumId w:val="0"/>
  </w:num>
  <w:num w:numId="11" w16cid:durableId="1998462714">
    <w:abstractNumId w:val="1"/>
  </w:num>
  <w:num w:numId="12" w16cid:durableId="1194461604">
    <w:abstractNumId w:val="2"/>
  </w:num>
  <w:num w:numId="13" w16cid:durableId="1956255541">
    <w:abstractNumId w:val="16"/>
  </w:num>
  <w:num w:numId="14" w16cid:durableId="199125672">
    <w:abstractNumId w:val="14"/>
  </w:num>
  <w:num w:numId="15" w16cid:durableId="1455054184">
    <w:abstractNumId w:val="10"/>
  </w:num>
  <w:num w:numId="16" w16cid:durableId="776876536">
    <w:abstractNumId w:val="9"/>
  </w:num>
  <w:num w:numId="17" w16cid:durableId="1997829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69B4"/>
    <w:rsid w:val="0004114E"/>
    <w:rsid w:val="00047F3E"/>
    <w:rsid w:val="0005193D"/>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11761"/>
    <w:rsid w:val="002220E5"/>
    <w:rsid w:val="002241B8"/>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50E24"/>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4F522E"/>
    <w:rsid w:val="005006F3"/>
    <w:rsid w:val="0051188C"/>
    <w:rsid w:val="00523750"/>
    <w:rsid w:val="005321D9"/>
    <w:rsid w:val="005324E6"/>
    <w:rsid w:val="00534E0F"/>
    <w:rsid w:val="005537D8"/>
    <w:rsid w:val="0055790B"/>
    <w:rsid w:val="00570773"/>
    <w:rsid w:val="005750D6"/>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E02"/>
    <w:rsid w:val="00745B2F"/>
    <w:rsid w:val="007625F3"/>
    <w:rsid w:val="00781829"/>
    <w:rsid w:val="00784B60"/>
    <w:rsid w:val="0079478D"/>
    <w:rsid w:val="00794D92"/>
    <w:rsid w:val="007B3143"/>
    <w:rsid w:val="007C049C"/>
    <w:rsid w:val="007C092E"/>
    <w:rsid w:val="007C786D"/>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663EF"/>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42D1"/>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92604"/>
    <w:rsid w:val="00DA2E15"/>
    <w:rsid w:val="00DA5E04"/>
    <w:rsid w:val="00DB4F39"/>
    <w:rsid w:val="00DB65EC"/>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B1821"/>
    <w:rsid w:val="00EB5FF1"/>
    <w:rsid w:val="00EB6336"/>
    <w:rsid w:val="00EC03E9"/>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9</cp:revision>
  <cp:lastPrinted>2025-07-09T18:26:00Z</cp:lastPrinted>
  <dcterms:created xsi:type="dcterms:W3CDTF">2026-01-22T18:33:00Z</dcterms:created>
  <dcterms:modified xsi:type="dcterms:W3CDTF">2026-02-16T17:27:00Z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