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2457C0D0" w:rsidR="0004114E" w:rsidRDefault="0018791D" w:rsidP="0004114E">
                            <w:pPr>
                              <w:spacing w:after="0"/>
                              <w:jc w:val="center"/>
                              <w:rPr>
                                <w:rFonts w:ascii="Roboto" w:hAnsi="Roboto"/>
                                <w:b/>
                                <w:bCs/>
                                <w:color w:val="265216"/>
                                <w:sz w:val="40"/>
                                <w:szCs w:val="40"/>
                              </w:rPr>
                            </w:pPr>
                            <w:r>
                              <w:rPr>
                                <w:rFonts w:ascii="Roboto" w:hAnsi="Roboto"/>
                                <w:b/>
                                <w:bCs/>
                                <w:color w:val="265216"/>
                                <w:sz w:val="40"/>
                                <w:szCs w:val="40"/>
                              </w:rPr>
                              <w:t>Board Attorney</w:t>
                            </w:r>
                          </w:p>
                          <w:p w14:paraId="1D9D22E1" w14:textId="3E7088CC"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01441">
                              <w:rPr>
                                <w:rFonts w:ascii="Roboto" w:hAnsi="Roboto"/>
                                <w:b/>
                                <w:bCs/>
                                <w:color w:val="265216"/>
                                <w:sz w:val="40"/>
                                <w:szCs w:val="40"/>
                              </w:rPr>
                              <w:t>2</w:t>
                            </w:r>
                            <w:r w:rsidR="0018791D">
                              <w:rPr>
                                <w:rFonts w:ascii="Roboto" w:hAnsi="Roboto"/>
                                <w:b/>
                                <w:bCs/>
                                <w:color w:val="265216"/>
                                <w:sz w:val="40"/>
                                <w:szCs w:val="40"/>
                              </w:rPr>
                              <w:t>610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2457C0D0" w:rsidR="0004114E" w:rsidRDefault="0018791D" w:rsidP="0004114E">
                      <w:pPr>
                        <w:spacing w:after="0"/>
                        <w:jc w:val="center"/>
                        <w:rPr>
                          <w:rFonts w:ascii="Roboto" w:hAnsi="Roboto"/>
                          <w:b/>
                          <w:bCs/>
                          <w:color w:val="265216"/>
                          <w:sz w:val="40"/>
                          <w:szCs w:val="40"/>
                        </w:rPr>
                      </w:pPr>
                      <w:r>
                        <w:rPr>
                          <w:rFonts w:ascii="Roboto" w:hAnsi="Roboto"/>
                          <w:b/>
                          <w:bCs/>
                          <w:color w:val="265216"/>
                          <w:sz w:val="40"/>
                          <w:szCs w:val="40"/>
                        </w:rPr>
                        <w:t>Board Attorney</w:t>
                      </w:r>
                    </w:p>
                    <w:p w14:paraId="1D9D22E1" w14:textId="3E7088CC"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01441">
                        <w:rPr>
                          <w:rFonts w:ascii="Roboto" w:hAnsi="Roboto"/>
                          <w:b/>
                          <w:bCs/>
                          <w:color w:val="265216"/>
                          <w:sz w:val="40"/>
                          <w:szCs w:val="40"/>
                        </w:rPr>
                        <w:t>2</w:t>
                      </w:r>
                      <w:r w:rsidR="0018791D">
                        <w:rPr>
                          <w:rFonts w:ascii="Roboto" w:hAnsi="Roboto"/>
                          <w:b/>
                          <w:bCs/>
                          <w:color w:val="265216"/>
                          <w:sz w:val="40"/>
                          <w:szCs w:val="40"/>
                        </w:rPr>
                        <w:t>610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10BAFBE9">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0691C790" w14:textId="44EB8E27" w:rsidR="008177D3" w:rsidRDefault="00E65C70" w:rsidP="00784B60">
      <w:pPr>
        <w:pStyle w:val="ListParagraph"/>
        <w:ind w:left="0"/>
        <w:rPr>
          <w:rFonts w:ascii="Roboto" w:hAnsi="Roboto"/>
        </w:rPr>
      </w:pPr>
      <w:r>
        <w:rPr>
          <w:rFonts w:ascii="Roboto" w:hAnsi="Roboto"/>
        </w:rPr>
        <w:t xml:space="preserve">The Eastern North Carolina School for the Deaf (ENCSD) Board of Trustees recognizes </w:t>
      </w:r>
      <w:r w:rsidR="00621D67">
        <w:rPr>
          <w:rFonts w:ascii="Roboto" w:hAnsi="Roboto"/>
        </w:rPr>
        <w:t xml:space="preserve">the need for competent legal counsel to support effective governance, ensure compliance with applicable laws, and protect the interests of the school.  This policy </w:t>
      </w:r>
      <w:r w:rsidR="004A591A">
        <w:rPr>
          <w:rFonts w:ascii="Roboto" w:hAnsi="Roboto"/>
        </w:rPr>
        <w:t>establishes the authority, role, and expectations related to the appointment and use of a Board Attorney, in alignment with applicable federal and state laws.</w:t>
      </w:r>
    </w:p>
    <w:p w14:paraId="5565E2B3" w14:textId="73107F80" w:rsidR="00AB7775" w:rsidRPr="00D40F18" w:rsidRDefault="00FD7448" w:rsidP="00784B60">
      <w:pPr>
        <w:rPr>
          <w:rFonts w:ascii="Roboto" w:hAnsi="Roboto"/>
        </w:rPr>
      </w:pPr>
      <w:r>
        <w:rPr>
          <w:rFonts w:ascii="Roboto" w:hAnsi="Roboto"/>
        </w:rPr>
        <w:pict w14:anchorId="52E23955">
          <v:rect id="_x0000_i1027" style="width:0;height:1.5pt" o:hrstd="t" o:hr="t" fillcolor="#a0a0a0" stroked="f"/>
        </w:pict>
      </w:r>
    </w:p>
    <w:p w14:paraId="6874D26A" w14:textId="61CC6048" w:rsid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C62448">
        <w:rPr>
          <w:rFonts w:ascii="Roboto" w:hAnsi="Roboto"/>
          <w:b/>
          <w:bCs/>
        </w:rPr>
        <w:t>Policy Statement</w:t>
      </w:r>
    </w:p>
    <w:p w14:paraId="37EB27B9" w14:textId="1AFA55D1" w:rsidR="004774E9" w:rsidRPr="004774E9" w:rsidRDefault="004A591A" w:rsidP="004774E9">
      <w:pPr>
        <w:rPr>
          <w:rFonts w:ascii="Roboto" w:hAnsi="Roboto"/>
        </w:rPr>
      </w:pPr>
      <w:r>
        <w:rPr>
          <w:rFonts w:ascii="Roboto" w:hAnsi="Roboto"/>
        </w:rPr>
        <w:t xml:space="preserve">The Board of Trustees shall retain a qualified attorney or law firm to serve as legal counsel to the Board.  The Board Attorney shall advise the Board on legal matters related to governance, policy, and operations and shall represent the Board when authorized.  Legal services shall be provided </w:t>
      </w:r>
      <w:r w:rsidR="00DC1127">
        <w:rPr>
          <w:rFonts w:ascii="Roboto" w:hAnsi="Roboto"/>
        </w:rPr>
        <w:t>i</w:t>
      </w:r>
      <w:r>
        <w:rPr>
          <w:rFonts w:ascii="Roboto" w:hAnsi="Roboto"/>
        </w:rPr>
        <w:t>n a manner that supports transparency, ethical governance, and the rights of all stakeholders</w:t>
      </w:r>
      <w:r w:rsidR="00D92604">
        <w:rPr>
          <w:rFonts w:ascii="Roboto" w:hAnsi="Roboto"/>
        </w:rPr>
        <w:t>, including Deaf and hard of hearing students, families, employees, and members of the public.</w:t>
      </w:r>
    </w:p>
    <w:p w14:paraId="1F09021B" w14:textId="5F5F2E1B" w:rsidR="00FC0A71" w:rsidRPr="00FA7F3C" w:rsidRDefault="00FD7448" w:rsidP="00FA7F3C">
      <w:pPr>
        <w:rPr>
          <w:rFonts w:ascii="Roboto" w:hAnsi="Roboto"/>
          <w:b/>
          <w:bCs/>
        </w:rPr>
      </w:pPr>
      <w:r>
        <w:pict w14:anchorId="638A454B">
          <v:rect id="_x0000_i1028" style="width:0;height:1.5pt" o:hralign="center" o:hrstd="t" o:hr="t" fillcolor="#a0a0a0" stroked="f"/>
        </w:pict>
      </w:r>
    </w:p>
    <w:p w14:paraId="628B4E63" w14:textId="4285A73A" w:rsidR="00BF2698" w:rsidRDefault="005D6D45" w:rsidP="00784B60">
      <w:pPr>
        <w:rPr>
          <w:rFonts w:ascii="Roboto" w:hAnsi="Roboto"/>
          <w:b/>
          <w:bCs/>
        </w:rPr>
      </w:pPr>
      <w:r>
        <w:rPr>
          <w:rFonts w:ascii="Roboto" w:hAnsi="Roboto"/>
          <w:b/>
          <w:bCs/>
        </w:rPr>
        <w:t xml:space="preserve">II. </w:t>
      </w:r>
      <w:r w:rsidR="004212B3">
        <w:rPr>
          <w:rFonts w:ascii="Roboto" w:hAnsi="Roboto"/>
          <w:b/>
          <w:bCs/>
        </w:rPr>
        <w:t>Appointment and Authority</w:t>
      </w:r>
    </w:p>
    <w:p w14:paraId="41C929DE" w14:textId="4294F482" w:rsidR="00971644" w:rsidRDefault="004212B3" w:rsidP="002B02AA">
      <w:pPr>
        <w:pStyle w:val="ListParagraph"/>
        <w:numPr>
          <w:ilvl w:val="0"/>
          <w:numId w:val="3"/>
        </w:numPr>
        <w:rPr>
          <w:rFonts w:ascii="Roboto" w:hAnsi="Roboto"/>
        </w:rPr>
      </w:pPr>
      <w:r>
        <w:rPr>
          <w:rFonts w:ascii="Roboto" w:hAnsi="Roboto"/>
        </w:rPr>
        <w:t>The Board of Trustees shall appoint and retain the Board Attorney and determine the scope and terms of legal services.</w:t>
      </w:r>
    </w:p>
    <w:p w14:paraId="0C5BC02C" w14:textId="2263B71D" w:rsidR="004212B3" w:rsidRDefault="004212B3" w:rsidP="002B02AA">
      <w:pPr>
        <w:pStyle w:val="ListParagraph"/>
        <w:numPr>
          <w:ilvl w:val="0"/>
          <w:numId w:val="3"/>
        </w:numPr>
        <w:rPr>
          <w:rFonts w:ascii="Roboto" w:hAnsi="Roboto"/>
        </w:rPr>
      </w:pPr>
      <w:r>
        <w:rPr>
          <w:rFonts w:ascii="Roboto" w:hAnsi="Roboto"/>
        </w:rPr>
        <w:t>The Board Attorney serves at the pleasure of the Board and may be replaced or dismissed by Board action.</w:t>
      </w:r>
    </w:p>
    <w:p w14:paraId="2046C5EF" w14:textId="19FF287E" w:rsidR="004212B3" w:rsidRPr="005757FC" w:rsidRDefault="004212B3" w:rsidP="002B02AA">
      <w:pPr>
        <w:pStyle w:val="ListParagraph"/>
        <w:numPr>
          <w:ilvl w:val="0"/>
          <w:numId w:val="3"/>
        </w:numPr>
        <w:rPr>
          <w:rFonts w:ascii="Roboto" w:hAnsi="Roboto"/>
        </w:rPr>
      </w:pPr>
      <w:r>
        <w:rPr>
          <w:rFonts w:ascii="Roboto" w:hAnsi="Roboto"/>
        </w:rPr>
        <w:t>The Board Chair, or designee</w:t>
      </w:r>
      <w:r w:rsidR="00A7294B">
        <w:rPr>
          <w:rFonts w:ascii="Roboto" w:hAnsi="Roboto"/>
        </w:rPr>
        <w:t>, may communicate with Board Attorney on behalf of the Board, consistent with Board directives.</w:t>
      </w:r>
    </w:p>
    <w:p w14:paraId="6D1D30EE" w14:textId="204718B3" w:rsidR="003B6C80" w:rsidRPr="00BF2698" w:rsidRDefault="00FD7448" w:rsidP="00784B60">
      <w:pPr>
        <w:rPr>
          <w:rFonts w:ascii="Roboto" w:hAnsi="Roboto"/>
          <w:b/>
          <w:bCs/>
        </w:rPr>
      </w:pPr>
      <w:r>
        <w:rPr>
          <w:rFonts w:ascii="Roboto" w:hAnsi="Roboto"/>
          <w:b/>
          <w:bCs/>
        </w:rPr>
        <w:pict w14:anchorId="64796BD0">
          <v:rect id="_x0000_i1029" style="width:0;height:1.5pt" o:hralign="center" o:hrstd="t" o:hr="t" fillcolor="#a0a0a0" stroked="f"/>
        </w:pict>
      </w:r>
    </w:p>
    <w:p w14:paraId="195134BF" w14:textId="77777777" w:rsidR="00FD7448" w:rsidRDefault="00FD7448" w:rsidP="00784B60">
      <w:pPr>
        <w:rPr>
          <w:rFonts w:ascii="Roboto" w:hAnsi="Roboto"/>
          <w:b/>
          <w:bCs/>
        </w:rPr>
      </w:pPr>
    </w:p>
    <w:p w14:paraId="3C2C2654" w14:textId="77777777" w:rsidR="00FD7448" w:rsidRDefault="00FD7448" w:rsidP="00784B60">
      <w:pPr>
        <w:rPr>
          <w:rFonts w:ascii="Roboto" w:hAnsi="Roboto"/>
          <w:b/>
          <w:bCs/>
        </w:rPr>
      </w:pPr>
    </w:p>
    <w:p w14:paraId="68AD71E1" w14:textId="77777777" w:rsidR="00FD7448" w:rsidRDefault="00FD7448" w:rsidP="00784B60">
      <w:pPr>
        <w:rPr>
          <w:rFonts w:ascii="Roboto" w:hAnsi="Roboto"/>
          <w:b/>
          <w:bCs/>
        </w:rPr>
      </w:pPr>
    </w:p>
    <w:p w14:paraId="6DC1E48C" w14:textId="04C730F2" w:rsidR="00784B60" w:rsidRDefault="00784B60" w:rsidP="00784B60">
      <w:pPr>
        <w:rPr>
          <w:rFonts w:ascii="Roboto" w:hAnsi="Roboto"/>
          <w:b/>
          <w:bCs/>
        </w:rPr>
      </w:pPr>
      <w:r>
        <w:rPr>
          <w:rFonts w:ascii="Roboto" w:hAnsi="Roboto"/>
          <w:b/>
          <w:bCs/>
        </w:rPr>
        <w:lastRenderedPageBreak/>
        <w:t>I</w:t>
      </w:r>
      <w:r w:rsidR="00194F9E">
        <w:rPr>
          <w:rFonts w:ascii="Roboto" w:hAnsi="Roboto"/>
          <w:b/>
          <w:bCs/>
        </w:rPr>
        <w:t>II</w:t>
      </w:r>
      <w:r w:rsidRPr="00784B60">
        <w:rPr>
          <w:rFonts w:ascii="Roboto" w:hAnsi="Roboto"/>
          <w:b/>
          <w:bCs/>
        </w:rPr>
        <w:t xml:space="preserve">. </w:t>
      </w:r>
      <w:r w:rsidR="00A7294B">
        <w:rPr>
          <w:rFonts w:ascii="Roboto" w:hAnsi="Roboto"/>
          <w:b/>
          <w:bCs/>
        </w:rPr>
        <w:t>Roles and Responsibilities</w:t>
      </w:r>
    </w:p>
    <w:p w14:paraId="2720C838" w14:textId="370404B0" w:rsidR="00A7294B" w:rsidRPr="00A7294B" w:rsidRDefault="00A7294B" w:rsidP="00784B60">
      <w:pPr>
        <w:rPr>
          <w:rFonts w:ascii="Roboto" w:hAnsi="Roboto"/>
        </w:rPr>
      </w:pPr>
      <w:r>
        <w:rPr>
          <w:rFonts w:ascii="Roboto" w:hAnsi="Roboto"/>
        </w:rPr>
        <w:t>The Board Attorney may:</w:t>
      </w:r>
    </w:p>
    <w:p w14:paraId="7753DAE8" w14:textId="753AC725" w:rsidR="001113CA" w:rsidRDefault="000C127D" w:rsidP="001113CA">
      <w:pPr>
        <w:pStyle w:val="ListParagraph"/>
        <w:numPr>
          <w:ilvl w:val="0"/>
          <w:numId w:val="1"/>
        </w:numPr>
        <w:rPr>
          <w:rFonts w:ascii="Roboto" w:hAnsi="Roboto"/>
        </w:rPr>
      </w:pPr>
      <w:r>
        <w:rPr>
          <w:rFonts w:ascii="Roboto" w:hAnsi="Roboto"/>
        </w:rPr>
        <w:t>Provide legal advice to the Board on matters of governance, policy development, and compliance with federal and state laws</w:t>
      </w:r>
    </w:p>
    <w:p w14:paraId="1822A5E2" w14:textId="0477AFF3" w:rsidR="000C127D" w:rsidRDefault="000C127D" w:rsidP="001113CA">
      <w:pPr>
        <w:pStyle w:val="ListParagraph"/>
        <w:numPr>
          <w:ilvl w:val="0"/>
          <w:numId w:val="1"/>
        </w:numPr>
        <w:rPr>
          <w:rFonts w:ascii="Roboto" w:hAnsi="Roboto"/>
        </w:rPr>
      </w:pPr>
      <w:r>
        <w:rPr>
          <w:rFonts w:ascii="Roboto" w:hAnsi="Roboto"/>
        </w:rPr>
        <w:t>Advise the Board on issues related to meetings, public records, ethics, and due process</w:t>
      </w:r>
    </w:p>
    <w:p w14:paraId="32EB4B46" w14:textId="7F658C38" w:rsidR="000C127D" w:rsidRDefault="000C127D" w:rsidP="001113CA">
      <w:pPr>
        <w:pStyle w:val="ListParagraph"/>
        <w:numPr>
          <w:ilvl w:val="0"/>
          <w:numId w:val="1"/>
        </w:numPr>
        <w:rPr>
          <w:rFonts w:ascii="Roboto" w:hAnsi="Roboto"/>
        </w:rPr>
      </w:pPr>
      <w:r>
        <w:rPr>
          <w:rFonts w:ascii="Roboto" w:hAnsi="Roboto"/>
        </w:rPr>
        <w:t>Represent the Board in legal proceedings or negotiations when authorized</w:t>
      </w:r>
    </w:p>
    <w:p w14:paraId="103DDEF9" w14:textId="75553F12" w:rsidR="000C127D" w:rsidRDefault="000C127D" w:rsidP="001113CA">
      <w:pPr>
        <w:pStyle w:val="ListParagraph"/>
        <w:numPr>
          <w:ilvl w:val="0"/>
          <w:numId w:val="1"/>
        </w:numPr>
        <w:rPr>
          <w:rFonts w:ascii="Roboto" w:hAnsi="Roboto"/>
        </w:rPr>
      </w:pPr>
      <w:r>
        <w:rPr>
          <w:rFonts w:ascii="Roboto" w:hAnsi="Roboto"/>
        </w:rPr>
        <w:t>Review and provide guidance on contracts, agreements, and other legal documents as requested by the Board</w:t>
      </w:r>
    </w:p>
    <w:p w14:paraId="53337D5C" w14:textId="31645369" w:rsidR="000C127D" w:rsidRPr="00194F9E" w:rsidRDefault="000C127D" w:rsidP="001113CA">
      <w:pPr>
        <w:pStyle w:val="ListParagraph"/>
        <w:numPr>
          <w:ilvl w:val="0"/>
          <w:numId w:val="1"/>
        </w:numPr>
        <w:rPr>
          <w:rFonts w:ascii="Roboto" w:hAnsi="Roboto"/>
        </w:rPr>
      </w:pPr>
      <w:r>
        <w:rPr>
          <w:rFonts w:ascii="Roboto" w:hAnsi="Roboto"/>
        </w:rPr>
        <w:t xml:space="preserve">Assist the Board in understanding legal obligations related to the rights of students and employees, including obligations under IDEA, ADA, Section 504, Title IX, and other applicable laws  </w:t>
      </w:r>
    </w:p>
    <w:p w14:paraId="0E5CA464" w14:textId="266DB45B" w:rsidR="00E22530" w:rsidRPr="00640EAB" w:rsidRDefault="00FD7448" w:rsidP="00C86E25">
      <w:pPr>
        <w:rPr>
          <w:rFonts w:ascii="Roboto" w:hAnsi="Roboto"/>
        </w:rPr>
      </w:pPr>
      <w:r>
        <w:rPr>
          <w:rFonts w:ascii="Roboto" w:hAnsi="Roboto"/>
          <w:b/>
          <w:bCs/>
        </w:rPr>
        <w:pict w14:anchorId="39A833A0">
          <v:rect id="_x0000_i1030" style="width:0;height:1.5pt" o:hralign="center" o:hrstd="t" o:hr="t" fillcolor="#a0a0a0" stroked="f"/>
        </w:pict>
      </w:r>
    </w:p>
    <w:p w14:paraId="47717391" w14:textId="0C89C44E" w:rsidR="007B3143" w:rsidRDefault="00F802A2" w:rsidP="00C86E25">
      <w:pPr>
        <w:rPr>
          <w:rFonts w:ascii="Roboto" w:hAnsi="Roboto"/>
          <w:b/>
          <w:bCs/>
        </w:rPr>
      </w:pPr>
      <w:r>
        <w:rPr>
          <w:rFonts w:ascii="Roboto" w:hAnsi="Roboto"/>
          <w:b/>
          <w:bCs/>
        </w:rPr>
        <w:t>I</w:t>
      </w:r>
      <w:r w:rsidR="007B3143">
        <w:rPr>
          <w:rFonts w:ascii="Roboto" w:hAnsi="Roboto"/>
          <w:b/>
          <w:bCs/>
        </w:rPr>
        <w:t xml:space="preserve">V. </w:t>
      </w:r>
      <w:r w:rsidR="002241B8">
        <w:rPr>
          <w:rFonts w:ascii="Roboto" w:hAnsi="Roboto"/>
          <w:b/>
          <w:bCs/>
        </w:rPr>
        <w:t>Relationship to the Superintendent and Administration</w:t>
      </w:r>
    </w:p>
    <w:p w14:paraId="67726291" w14:textId="0772AD99" w:rsidR="001113CA" w:rsidRDefault="002241B8" w:rsidP="001113CA">
      <w:pPr>
        <w:pStyle w:val="ListParagraph"/>
        <w:numPr>
          <w:ilvl w:val="0"/>
          <w:numId w:val="6"/>
        </w:numPr>
        <w:rPr>
          <w:rFonts w:ascii="Roboto" w:hAnsi="Roboto"/>
        </w:rPr>
      </w:pPr>
      <w:r>
        <w:rPr>
          <w:rFonts w:ascii="Roboto" w:hAnsi="Roboto"/>
        </w:rPr>
        <w:t>The Board Attorney represents the Board as a governing body and does not serve as legal counsel to individual Board members, employees, or students unless specifically authorized by the Board.</w:t>
      </w:r>
    </w:p>
    <w:p w14:paraId="56D4812E" w14:textId="07D1E431" w:rsidR="002241B8" w:rsidRDefault="002241B8" w:rsidP="001113CA">
      <w:pPr>
        <w:pStyle w:val="ListParagraph"/>
        <w:numPr>
          <w:ilvl w:val="0"/>
          <w:numId w:val="6"/>
        </w:numPr>
        <w:rPr>
          <w:rFonts w:ascii="Roboto" w:hAnsi="Roboto"/>
        </w:rPr>
      </w:pPr>
      <w:r>
        <w:rPr>
          <w:rFonts w:ascii="Roboto" w:hAnsi="Roboto"/>
        </w:rPr>
        <w:t>The Superintendent or designee may consult with the Board Attorney at the direction of the Board or Board Chair on matters affecting Board governance or legal compliance.</w:t>
      </w:r>
    </w:p>
    <w:p w14:paraId="22CAB9D1" w14:textId="3C63DF63" w:rsidR="002241B8" w:rsidRPr="00F802A2" w:rsidRDefault="002241B8" w:rsidP="001113CA">
      <w:pPr>
        <w:pStyle w:val="ListParagraph"/>
        <w:numPr>
          <w:ilvl w:val="0"/>
          <w:numId w:val="6"/>
        </w:numPr>
        <w:rPr>
          <w:rFonts w:ascii="Roboto" w:hAnsi="Roboto"/>
        </w:rPr>
      </w:pPr>
      <w:r>
        <w:rPr>
          <w:rFonts w:ascii="Roboto" w:hAnsi="Roboto"/>
        </w:rPr>
        <w:t>Nothing in this policy shall limit the Superintendent’s authority to seek separate legal counsel as permitted by law.</w:t>
      </w:r>
    </w:p>
    <w:p w14:paraId="456CB95A" w14:textId="53BB753B" w:rsidR="00D14409" w:rsidRPr="007B3143" w:rsidRDefault="00FD7448" w:rsidP="00C86E25">
      <w:pPr>
        <w:rPr>
          <w:rFonts w:ascii="Roboto" w:hAnsi="Roboto"/>
        </w:rPr>
      </w:pPr>
      <w:r>
        <w:rPr>
          <w:rFonts w:ascii="Roboto" w:hAnsi="Roboto"/>
          <w:b/>
          <w:bCs/>
        </w:rPr>
        <w:pict w14:anchorId="7C93F8C4">
          <v:rect id="_x0000_i1031" style="width:0;height:1.5pt" o:hralign="center" o:hrstd="t" o:hr="t" fillcolor="#a0a0a0" stroked="f"/>
        </w:pict>
      </w:r>
    </w:p>
    <w:p w14:paraId="00A6051A" w14:textId="6C0538BD" w:rsidR="00637340" w:rsidRDefault="00637340" w:rsidP="00C86E25">
      <w:pPr>
        <w:rPr>
          <w:rFonts w:ascii="Roboto" w:hAnsi="Roboto"/>
          <w:b/>
          <w:bCs/>
        </w:rPr>
      </w:pPr>
      <w:r>
        <w:rPr>
          <w:rFonts w:ascii="Roboto" w:hAnsi="Roboto"/>
          <w:b/>
          <w:bCs/>
        </w:rPr>
        <w:t xml:space="preserve">V. </w:t>
      </w:r>
      <w:r w:rsidR="002241B8">
        <w:rPr>
          <w:rFonts w:ascii="Roboto" w:hAnsi="Roboto"/>
          <w:b/>
          <w:bCs/>
        </w:rPr>
        <w:t>Accessibility and Effective Communication</w:t>
      </w:r>
      <w:r w:rsidR="00CD6568">
        <w:rPr>
          <w:rFonts w:ascii="Roboto" w:hAnsi="Roboto"/>
          <w:b/>
          <w:bCs/>
        </w:rPr>
        <w:t xml:space="preserve"> </w:t>
      </w:r>
    </w:p>
    <w:p w14:paraId="36E5B7E4" w14:textId="6E51DA2F" w:rsidR="001113CA" w:rsidRPr="002241B8" w:rsidRDefault="002241B8" w:rsidP="002241B8">
      <w:pPr>
        <w:rPr>
          <w:rFonts w:ascii="Roboto" w:hAnsi="Roboto"/>
        </w:rPr>
      </w:pPr>
      <w:r>
        <w:rPr>
          <w:rFonts w:ascii="Roboto" w:hAnsi="Roboto"/>
        </w:rPr>
        <w:t xml:space="preserve">When participating in Board meetings, communications, or proceedings involving ENCSD stakeholders, the Board Attorney shall support the </w:t>
      </w:r>
      <w:r w:rsidR="00EE6F83">
        <w:rPr>
          <w:rFonts w:ascii="Roboto" w:hAnsi="Roboto"/>
        </w:rPr>
        <w:t>provision of effective communication and reasonable accommodations for Deaf and hard of hearing individuals, consistent with the Americans with Disabilities Act (ADA) and Section 504 of the Rehabilitation Act.</w:t>
      </w:r>
    </w:p>
    <w:p w14:paraId="7C5506D7" w14:textId="0ED7B885" w:rsidR="002A0647" w:rsidRPr="00637340" w:rsidRDefault="00FD7448" w:rsidP="00C86E25">
      <w:pPr>
        <w:rPr>
          <w:rFonts w:ascii="Roboto" w:hAnsi="Roboto"/>
        </w:rPr>
      </w:pPr>
      <w:r>
        <w:rPr>
          <w:rFonts w:ascii="Roboto" w:hAnsi="Roboto"/>
          <w:b/>
          <w:bCs/>
        </w:rPr>
        <w:pict w14:anchorId="64F4651B">
          <v:rect id="_x0000_i1032" style="width:0;height:1.5pt" o:hralign="center" o:hrstd="t" o:hr="t" fillcolor="#a0a0a0" stroked="f"/>
        </w:pict>
      </w:r>
    </w:p>
    <w:p w14:paraId="716D7714" w14:textId="77777777" w:rsidR="00FD7448" w:rsidRDefault="00FD7448" w:rsidP="00EE6F83">
      <w:pPr>
        <w:rPr>
          <w:rFonts w:ascii="Roboto" w:hAnsi="Roboto"/>
          <w:b/>
          <w:bCs/>
        </w:rPr>
      </w:pPr>
    </w:p>
    <w:p w14:paraId="78F4BAFF" w14:textId="77777777" w:rsidR="00FD7448" w:rsidRDefault="00FD7448" w:rsidP="00EE6F83">
      <w:pPr>
        <w:rPr>
          <w:rFonts w:ascii="Roboto" w:hAnsi="Roboto"/>
          <w:b/>
          <w:bCs/>
        </w:rPr>
      </w:pPr>
    </w:p>
    <w:p w14:paraId="7F1076C8" w14:textId="77777777" w:rsidR="00FD7448" w:rsidRDefault="00FD7448" w:rsidP="00EE6F83">
      <w:pPr>
        <w:rPr>
          <w:rFonts w:ascii="Roboto" w:hAnsi="Roboto"/>
          <w:b/>
          <w:bCs/>
        </w:rPr>
      </w:pPr>
    </w:p>
    <w:p w14:paraId="691BEBA0" w14:textId="5FB6B37C" w:rsidR="00EE6F83" w:rsidRDefault="00EE6F83" w:rsidP="00EE6F83">
      <w:pPr>
        <w:rPr>
          <w:rFonts w:ascii="Roboto" w:hAnsi="Roboto"/>
          <w:b/>
          <w:bCs/>
        </w:rPr>
      </w:pPr>
      <w:r>
        <w:rPr>
          <w:rFonts w:ascii="Roboto" w:hAnsi="Roboto"/>
          <w:b/>
          <w:bCs/>
        </w:rPr>
        <w:lastRenderedPageBreak/>
        <w:t xml:space="preserve">V. Accessibility and Effective Communication </w:t>
      </w:r>
    </w:p>
    <w:p w14:paraId="6F2B5880" w14:textId="7AE34181" w:rsidR="00EE6F83" w:rsidRDefault="00EE6F83" w:rsidP="00EE6F83">
      <w:pPr>
        <w:rPr>
          <w:rFonts w:ascii="Roboto" w:hAnsi="Roboto"/>
        </w:rPr>
      </w:pPr>
      <w:r>
        <w:rPr>
          <w:rFonts w:ascii="Roboto" w:hAnsi="Roboto"/>
        </w:rPr>
        <w:t>When participating in Board meetings, communications, or proceedings involving ENCSD stakeholders, the Board Attorney shall support the provision of effective communication and reasonable accommodations for Deaf and hard of hearing individuals, consistent with the Americans with Disabilities Act (ADA) and Section 504 of the Rehabilitation Act.</w:t>
      </w:r>
      <w:r w:rsidRPr="00EE6F83">
        <w:rPr>
          <w:rFonts w:ascii="Roboto" w:hAnsi="Roboto"/>
          <w:b/>
          <w:bCs/>
        </w:rPr>
        <w:t xml:space="preserve"> </w:t>
      </w:r>
      <w:r w:rsidR="00FD7448">
        <w:rPr>
          <w:rFonts w:ascii="Roboto" w:hAnsi="Roboto"/>
          <w:b/>
          <w:bCs/>
        </w:rPr>
        <w:pict w14:anchorId="157B177B">
          <v:rect id="_x0000_i1033" style="width:0;height:1.5pt" o:hralign="center" o:hrstd="t" o:hr="t" fillcolor="#a0a0a0" stroked="f"/>
        </w:pict>
      </w:r>
    </w:p>
    <w:p w14:paraId="7F3D2DE8" w14:textId="2A8915C5" w:rsidR="00EE6F83" w:rsidRDefault="00EE6F83" w:rsidP="00EE6F83">
      <w:pPr>
        <w:rPr>
          <w:rFonts w:ascii="Roboto" w:hAnsi="Roboto"/>
          <w:b/>
          <w:bCs/>
        </w:rPr>
      </w:pPr>
      <w:r>
        <w:rPr>
          <w:rFonts w:ascii="Roboto" w:hAnsi="Roboto"/>
          <w:b/>
          <w:bCs/>
        </w:rPr>
        <w:t xml:space="preserve">VI. Confidentiality and Ethics </w:t>
      </w:r>
    </w:p>
    <w:p w14:paraId="69172220" w14:textId="3899FBF6" w:rsidR="00EE6F83" w:rsidRDefault="00EE6F83" w:rsidP="00EE6F83">
      <w:pPr>
        <w:pStyle w:val="ListParagraph"/>
        <w:numPr>
          <w:ilvl w:val="0"/>
          <w:numId w:val="11"/>
        </w:numPr>
        <w:rPr>
          <w:rFonts w:ascii="Roboto" w:hAnsi="Roboto"/>
        </w:rPr>
      </w:pPr>
      <w:r>
        <w:rPr>
          <w:rFonts w:ascii="Roboto" w:hAnsi="Roboto"/>
        </w:rPr>
        <w:t>Communications between the Board and the Board Attorney shall be subject to attorney-client privilege, as provided by law.</w:t>
      </w:r>
    </w:p>
    <w:p w14:paraId="0D35527B" w14:textId="326E091A" w:rsidR="00EE6F83" w:rsidRPr="00EE6F83" w:rsidRDefault="00EE6F83" w:rsidP="00EE6F83">
      <w:pPr>
        <w:pStyle w:val="ListParagraph"/>
        <w:numPr>
          <w:ilvl w:val="0"/>
          <w:numId w:val="11"/>
        </w:numPr>
        <w:rPr>
          <w:rFonts w:ascii="Roboto" w:hAnsi="Roboto"/>
        </w:rPr>
      </w:pPr>
      <w:r>
        <w:rPr>
          <w:rFonts w:ascii="Roboto" w:hAnsi="Roboto"/>
        </w:rPr>
        <w:t>The Board Attorney shall adhere to all applicable professional ethical standards and legal requirements.</w:t>
      </w:r>
    </w:p>
    <w:p w14:paraId="1ABFFEE2" w14:textId="77777777" w:rsidR="00EE6F83" w:rsidRDefault="00FD7448" w:rsidP="00EE6F83">
      <w:pPr>
        <w:rPr>
          <w:rFonts w:ascii="Roboto" w:hAnsi="Roboto"/>
          <w:b/>
          <w:bCs/>
        </w:rPr>
      </w:pPr>
      <w:r>
        <w:rPr>
          <w:rFonts w:ascii="Roboto" w:hAnsi="Roboto"/>
          <w:b/>
          <w:bCs/>
        </w:rPr>
        <w:pict w14:anchorId="4D5FA3CE">
          <v:rect id="_x0000_i1034" style="width:0;height:1.5pt" o:hralign="center" o:bullet="t" o:hrstd="t" o:hr="t" fillcolor="#a0a0a0" stroked="f"/>
        </w:pict>
      </w:r>
    </w:p>
    <w:p w14:paraId="626B0F76" w14:textId="2041E377" w:rsidR="00C86E25" w:rsidRDefault="00C86E25" w:rsidP="00EE6F83">
      <w:pPr>
        <w:rPr>
          <w:rFonts w:ascii="Roboto" w:hAnsi="Roboto"/>
          <w:b/>
          <w:bCs/>
        </w:rPr>
      </w:pPr>
      <w:r w:rsidRPr="0012402B">
        <w:rPr>
          <w:rFonts w:ascii="Roboto" w:hAnsi="Roboto"/>
          <w:b/>
          <w:bCs/>
        </w:rPr>
        <w:t>Legal References</w:t>
      </w:r>
    </w:p>
    <w:p w14:paraId="61235976" w14:textId="3F6C697F" w:rsidR="005537D8" w:rsidRPr="005537D8" w:rsidRDefault="005537D8" w:rsidP="005537D8">
      <w:pPr>
        <w:pStyle w:val="ListParagraph"/>
        <w:numPr>
          <w:ilvl w:val="0"/>
          <w:numId w:val="10"/>
        </w:numPr>
        <w:rPr>
          <w:rFonts w:ascii="Roboto" w:eastAsiaTheme="majorEastAsia" w:hAnsi="Roboto" w:cs="Times New Roman"/>
          <w:kern w:val="0"/>
          <w14:ligatures w14:val="none"/>
        </w:rPr>
      </w:pPr>
      <w:r w:rsidRPr="005537D8">
        <w:rPr>
          <w:rFonts w:ascii="Roboto" w:eastAsiaTheme="majorEastAsia" w:hAnsi="Roboto" w:cs="Times New Roman"/>
          <w:kern w:val="0"/>
          <w14:ligatures w14:val="none"/>
        </w:rPr>
        <w:t>North Carolina General Statutes §§ 115C-47, 115C-390 et seq.</w:t>
      </w:r>
    </w:p>
    <w:p w14:paraId="242BF2C3" w14:textId="15CA8C02" w:rsidR="005537D8" w:rsidRPr="005537D8" w:rsidRDefault="005537D8" w:rsidP="005537D8">
      <w:pPr>
        <w:pStyle w:val="ListParagraph"/>
        <w:numPr>
          <w:ilvl w:val="0"/>
          <w:numId w:val="10"/>
        </w:numPr>
        <w:rPr>
          <w:rFonts w:ascii="Roboto" w:eastAsiaTheme="majorEastAsia" w:hAnsi="Roboto" w:cs="Times New Roman"/>
          <w:kern w:val="0"/>
          <w14:ligatures w14:val="none"/>
        </w:rPr>
      </w:pPr>
      <w:r w:rsidRPr="005537D8">
        <w:rPr>
          <w:rFonts w:ascii="Roboto" w:eastAsiaTheme="majorEastAsia" w:hAnsi="Roboto" w:cs="Times New Roman"/>
          <w:kern w:val="0"/>
          <w14:ligatures w14:val="none"/>
        </w:rPr>
        <w:t>Individuals with Disabilities Education Act (IDEA), 20 U.S.C. § 1400 et seq.</w:t>
      </w:r>
    </w:p>
    <w:p w14:paraId="450CF616" w14:textId="241DEA3F" w:rsidR="005537D8" w:rsidRPr="005537D8" w:rsidRDefault="005537D8" w:rsidP="005537D8">
      <w:pPr>
        <w:pStyle w:val="ListParagraph"/>
        <w:numPr>
          <w:ilvl w:val="0"/>
          <w:numId w:val="10"/>
        </w:numPr>
        <w:rPr>
          <w:rFonts w:ascii="Roboto" w:eastAsiaTheme="majorEastAsia" w:hAnsi="Roboto" w:cs="Times New Roman"/>
          <w:kern w:val="0"/>
          <w14:ligatures w14:val="none"/>
        </w:rPr>
      </w:pPr>
      <w:r w:rsidRPr="005537D8">
        <w:rPr>
          <w:rFonts w:ascii="Roboto" w:eastAsiaTheme="majorEastAsia" w:hAnsi="Roboto" w:cs="Times New Roman"/>
          <w:kern w:val="0"/>
          <w14:ligatures w14:val="none"/>
        </w:rPr>
        <w:t>Section 504 of the Rehabilitation Act of 1973, 29 U.S.C. § 794</w:t>
      </w:r>
    </w:p>
    <w:p w14:paraId="1D497C44" w14:textId="04760ACD" w:rsidR="005537D8" w:rsidRPr="005537D8" w:rsidRDefault="005537D8" w:rsidP="005537D8">
      <w:pPr>
        <w:pStyle w:val="ListParagraph"/>
        <w:numPr>
          <w:ilvl w:val="0"/>
          <w:numId w:val="10"/>
        </w:numPr>
        <w:rPr>
          <w:rFonts w:ascii="Roboto" w:eastAsiaTheme="majorEastAsia" w:hAnsi="Roboto" w:cs="Times New Roman"/>
          <w:kern w:val="0"/>
          <w14:ligatures w14:val="none"/>
        </w:rPr>
      </w:pPr>
      <w:r w:rsidRPr="005537D8">
        <w:rPr>
          <w:rFonts w:ascii="Roboto" w:eastAsiaTheme="majorEastAsia" w:hAnsi="Roboto" w:cs="Times New Roman"/>
          <w:kern w:val="0"/>
          <w14:ligatures w14:val="none"/>
        </w:rPr>
        <w:t>Americans with Disabilities Act (ADA), 42 U.S.C. § 12101 et seq.</w:t>
      </w:r>
    </w:p>
    <w:p w14:paraId="2731011D" w14:textId="773BAE0D" w:rsidR="005537D8" w:rsidRPr="005537D8" w:rsidRDefault="005537D8" w:rsidP="005537D8">
      <w:pPr>
        <w:pStyle w:val="ListParagraph"/>
        <w:numPr>
          <w:ilvl w:val="0"/>
          <w:numId w:val="10"/>
        </w:numPr>
        <w:rPr>
          <w:rFonts w:ascii="Roboto" w:eastAsiaTheme="majorEastAsia" w:hAnsi="Roboto" w:cs="Times New Roman"/>
          <w:kern w:val="0"/>
          <w14:ligatures w14:val="none"/>
        </w:rPr>
      </w:pPr>
      <w:r w:rsidRPr="005537D8">
        <w:rPr>
          <w:rFonts w:ascii="Roboto" w:eastAsiaTheme="majorEastAsia" w:hAnsi="Roboto" w:cs="Times New Roman"/>
          <w:kern w:val="0"/>
          <w14:ligatures w14:val="none"/>
        </w:rPr>
        <w:t>North Carolina State Board of Education Policies related to student conduct</w:t>
      </w:r>
    </w:p>
    <w:p w14:paraId="54DF61D0" w14:textId="7EE61836" w:rsidR="00C90621" w:rsidRPr="00405C24" w:rsidRDefault="00FD7448" w:rsidP="00405C24">
      <w:pPr>
        <w:rPr>
          <w:rFonts w:ascii="Roboto" w:hAnsi="Roboto"/>
        </w:rPr>
      </w:pPr>
      <w:r>
        <w:pict w14:anchorId="727BCA74">
          <v:rect id="_x0000_i1035"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DF50C" w14:textId="77777777" w:rsidR="002665A1" w:rsidRDefault="002665A1" w:rsidP="00C90621">
      <w:pPr>
        <w:spacing w:after="0" w:line="240" w:lineRule="auto"/>
      </w:pPr>
      <w:r>
        <w:separator/>
      </w:r>
    </w:p>
  </w:endnote>
  <w:endnote w:type="continuationSeparator" w:id="0">
    <w:p w14:paraId="1B9E226C" w14:textId="77777777" w:rsidR="002665A1" w:rsidRDefault="002665A1"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2D8AD671" w:rsidR="00C90621" w:rsidRDefault="00C90621">
    <w:pPr>
      <w:pStyle w:val="Footer"/>
      <w:rPr>
        <w:rFonts w:ascii="Roboto" w:hAnsi="Roboto"/>
        <w:sz w:val="16"/>
        <w:szCs w:val="16"/>
      </w:rPr>
    </w:pPr>
    <w:r>
      <w:rPr>
        <w:rFonts w:ascii="Roboto" w:hAnsi="Roboto"/>
        <w:sz w:val="16"/>
        <w:szCs w:val="16"/>
      </w:rPr>
      <w:t>Revised: 0</w:t>
    </w:r>
    <w:r w:rsidR="003C0FA5">
      <w:rPr>
        <w:rFonts w:ascii="Roboto" w:hAnsi="Roboto"/>
        <w:sz w:val="16"/>
        <w:szCs w:val="16"/>
      </w:rPr>
      <w:t>1202026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BAFD9" w14:textId="77777777" w:rsidR="002665A1" w:rsidRDefault="002665A1" w:rsidP="00C90621">
      <w:pPr>
        <w:spacing w:after="0" w:line="240" w:lineRule="auto"/>
      </w:pPr>
      <w:r>
        <w:separator/>
      </w:r>
    </w:p>
  </w:footnote>
  <w:footnote w:type="continuationSeparator" w:id="0">
    <w:p w14:paraId="41D0CBE6" w14:textId="77777777" w:rsidR="002665A1" w:rsidRDefault="002665A1"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EndPr/>
    <w:sdtContent>
      <w:p w14:paraId="0467CB48" w14:textId="3CFF0F0E" w:rsidR="00C90621" w:rsidRDefault="00FD7448">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w14:anchorId="7E83A566"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916D37"/>
    <w:multiLevelType w:val="hybridMultilevel"/>
    <w:tmpl w:val="C24C75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A440FB"/>
    <w:multiLevelType w:val="hybridMultilevel"/>
    <w:tmpl w:val="3880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462B2"/>
    <w:multiLevelType w:val="hybridMultilevel"/>
    <w:tmpl w:val="0DE0C294"/>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17781"/>
    <w:multiLevelType w:val="hybridMultilevel"/>
    <w:tmpl w:val="E7E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F375C"/>
    <w:multiLevelType w:val="hybridMultilevel"/>
    <w:tmpl w:val="8C74AD0C"/>
    <w:lvl w:ilvl="0" w:tplc="C34CB32E">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6E6429"/>
    <w:multiLevelType w:val="hybridMultilevel"/>
    <w:tmpl w:val="7CA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C2ADE"/>
    <w:multiLevelType w:val="hybridMultilevel"/>
    <w:tmpl w:val="74A8B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616446">
    <w:abstractNumId w:val="10"/>
  </w:num>
  <w:num w:numId="2" w16cid:durableId="952057296">
    <w:abstractNumId w:val="6"/>
  </w:num>
  <w:num w:numId="3" w16cid:durableId="933049767">
    <w:abstractNumId w:val="2"/>
  </w:num>
  <w:num w:numId="4" w16cid:durableId="1757743861">
    <w:abstractNumId w:val="8"/>
  </w:num>
  <w:num w:numId="5" w16cid:durableId="1707827173">
    <w:abstractNumId w:val="4"/>
  </w:num>
  <w:num w:numId="6" w16cid:durableId="1180391154">
    <w:abstractNumId w:val="9"/>
  </w:num>
  <w:num w:numId="7" w16cid:durableId="1726366955">
    <w:abstractNumId w:val="5"/>
  </w:num>
  <w:num w:numId="8" w16cid:durableId="1155727715">
    <w:abstractNumId w:val="7"/>
  </w:num>
  <w:num w:numId="9" w16cid:durableId="1834226005">
    <w:abstractNumId w:val="3"/>
  </w:num>
  <w:num w:numId="10" w16cid:durableId="688794408">
    <w:abstractNumId w:val="0"/>
  </w:num>
  <w:num w:numId="11" w16cid:durableId="19984627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4114E"/>
    <w:rsid w:val="00047F3E"/>
    <w:rsid w:val="000603B6"/>
    <w:rsid w:val="00070973"/>
    <w:rsid w:val="00076311"/>
    <w:rsid w:val="0007718E"/>
    <w:rsid w:val="00081348"/>
    <w:rsid w:val="000826D5"/>
    <w:rsid w:val="00083F84"/>
    <w:rsid w:val="00087CC5"/>
    <w:rsid w:val="000911F5"/>
    <w:rsid w:val="00094147"/>
    <w:rsid w:val="000969A1"/>
    <w:rsid w:val="000975C4"/>
    <w:rsid w:val="000A3883"/>
    <w:rsid w:val="000A71D3"/>
    <w:rsid w:val="000A72AF"/>
    <w:rsid w:val="000A7612"/>
    <w:rsid w:val="000A7F4C"/>
    <w:rsid w:val="000B1B1D"/>
    <w:rsid w:val="000C127D"/>
    <w:rsid w:val="000D5B92"/>
    <w:rsid w:val="000E28A9"/>
    <w:rsid w:val="000E5F70"/>
    <w:rsid w:val="000F063F"/>
    <w:rsid w:val="000F0A30"/>
    <w:rsid w:val="000F1E4F"/>
    <w:rsid w:val="0010554C"/>
    <w:rsid w:val="001059CC"/>
    <w:rsid w:val="001113CA"/>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8791D"/>
    <w:rsid w:val="0019246C"/>
    <w:rsid w:val="00194F9E"/>
    <w:rsid w:val="00196118"/>
    <w:rsid w:val="001A7B19"/>
    <w:rsid w:val="001C1002"/>
    <w:rsid w:val="001D633B"/>
    <w:rsid w:val="001D63C2"/>
    <w:rsid w:val="001E35FA"/>
    <w:rsid w:val="001E746B"/>
    <w:rsid w:val="001E7B76"/>
    <w:rsid w:val="002016E4"/>
    <w:rsid w:val="00206087"/>
    <w:rsid w:val="00207FE0"/>
    <w:rsid w:val="002115FF"/>
    <w:rsid w:val="002220E5"/>
    <w:rsid w:val="002241B8"/>
    <w:rsid w:val="0023001F"/>
    <w:rsid w:val="00230332"/>
    <w:rsid w:val="00252A56"/>
    <w:rsid w:val="002567D5"/>
    <w:rsid w:val="002665A1"/>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02AA"/>
    <w:rsid w:val="002B30ED"/>
    <w:rsid w:val="002B3438"/>
    <w:rsid w:val="002B417B"/>
    <w:rsid w:val="002C58C2"/>
    <w:rsid w:val="002C70EC"/>
    <w:rsid w:val="002D03C2"/>
    <w:rsid w:val="002D5579"/>
    <w:rsid w:val="002D58A2"/>
    <w:rsid w:val="002D639A"/>
    <w:rsid w:val="002F478A"/>
    <w:rsid w:val="002F48B3"/>
    <w:rsid w:val="002F5E66"/>
    <w:rsid w:val="00304337"/>
    <w:rsid w:val="00322F35"/>
    <w:rsid w:val="00330DAB"/>
    <w:rsid w:val="003427FB"/>
    <w:rsid w:val="00350E24"/>
    <w:rsid w:val="00364070"/>
    <w:rsid w:val="00365A45"/>
    <w:rsid w:val="00366C05"/>
    <w:rsid w:val="00396C37"/>
    <w:rsid w:val="00397DF6"/>
    <w:rsid w:val="003A083A"/>
    <w:rsid w:val="003A4C95"/>
    <w:rsid w:val="003A624D"/>
    <w:rsid w:val="003B03EA"/>
    <w:rsid w:val="003B5EEB"/>
    <w:rsid w:val="003B6C80"/>
    <w:rsid w:val="003C0FA5"/>
    <w:rsid w:val="003D0019"/>
    <w:rsid w:val="003D5622"/>
    <w:rsid w:val="003E679A"/>
    <w:rsid w:val="003F0308"/>
    <w:rsid w:val="003F186E"/>
    <w:rsid w:val="003F5D5C"/>
    <w:rsid w:val="00401441"/>
    <w:rsid w:val="00405C24"/>
    <w:rsid w:val="00412B11"/>
    <w:rsid w:val="004136DD"/>
    <w:rsid w:val="004212B3"/>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591A"/>
    <w:rsid w:val="004A7D59"/>
    <w:rsid w:val="004B1407"/>
    <w:rsid w:val="004B2EFD"/>
    <w:rsid w:val="004C0416"/>
    <w:rsid w:val="004C33C7"/>
    <w:rsid w:val="004D30E2"/>
    <w:rsid w:val="004E4CCF"/>
    <w:rsid w:val="004E7A1B"/>
    <w:rsid w:val="004F2154"/>
    <w:rsid w:val="005006F3"/>
    <w:rsid w:val="0051188C"/>
    <w:rsid w:val="00523750"/>
    <w:rsid w:val="005321D9"/>
    <w:rsid w:val="005324E6"/>
    <w:rsid w:val="00534E0F"/>
    <w:rsid w:val="005537D8"/>
    <w:rsid w:val="0055790B"/>
    <w:rsid w:val="00570773"/>
    <w:rsid w:val="005757FC"/>
    <w:rsid w:val="00582D0D"/>
    <w:rsid w:val="005A39E0"/>
    <w:rsid w:val="005A4133"/>
    <w:rsid w:val="005D6D45"/>
    <w:rsid w:val="005E652E"/>
    <w:rsid w:val="005F798C"/>
    <w:rsid w:val="00601E01"/>
    <w:rsid w:val="006047A6"/>
    <w:rsid w:val="00611978"/>
    <w:rsid w:val="006152E2"/>
    <w:rsid w:val="006155AD"/>
    <w:rsid w:val="00621D67"/>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65305"/>
    <w:rsid w:val="00672227"/>
    <w:rsid w:val="0067781D"/>
    <w:rsid w:val="006875A5"/>
    <w:rsid w:val="00691FA8"/>
    <w:rsid w:val="006A3348"/>
    <w:rsid w:val="006B3E41"/>
    <w:rsid w:val="006B4A9A"/>
    <w:rsid w:val="006D68F0"/>
    <w:rsid w:val="006E461B"/>
    <w:rsid w:val="006F6C7B"/>
    <w:rsid w:val="007146DE"/>
    <w:rsid w:val="00715958"/>
    <w:rsid w:val="007168E3"/>
    <w:rsid w:val="00741DBD"/>
    <w:rsid w:val="00744E02"/>
    <w:rsid w:val="00745B2F"/>
    <w:rsid w:val="007625F3"/>
    <w:rsid w:val="00781829"/>
    <w:rsid w:val="00784B60"/>
    <w:rsid w:val="0079478D"/>
    <w:rsid w:val="00794D92"/>
    <w:rsid w:val="007B3143"/>
    <w:rsid w:val="007C049C"/>
    <w:rsid w:val="007C092E"/>
    <w:rsid w:val="007C786D"/>
    <w:rsid w:val="007E535B"/>
    <w:rsid w:val="007E5B85"/>
    <w:rsid w:val="007F23F0"/>
    <w:rsid w:val="007F32F0"/>
    <w:rsid w:val="007F6B6B"/>
    <w:rsid w:val="008008FF"/>
    <w:rsid w:val="00800B47"/>
    <w:rsid w:val="00812491"/>
    <w:rsid w:val="008168BA"/>
    <w:rsid w:val="008177D3"/>
    <w:rsid w:val="008206DB"/>
    <w:rsid w:val="008215D7"/>
    <w:rsid w:val="008248C0"/>
    <w:rsid w:val="00826EC3"/>
    <w:rsid w:val="008435BB"/>
    <w:rsid w:val="008507DC"/>
    <w:rsid w:val="00854A3A"/>
    <w:rsid w:val="00857882"/>
    <w:rsid w:val="008618E6"/>
    <w:rsid w:val="00863EC8"/>
    <w:rsid w:val="00872604"/>
    <w:rsid w:val="00876232"/>
    <w:rsid w:val="00876F4A"/>
    <w:rsid w:val="00880B3A"/>
    <w:rsid w:val="00881995"/>
    <w:rsid w:val="0089139E"/>
    <w:rsid w:val="00891644"/>
    <w:rsid w:val="00892221"/>
    <w:rsid w:val="008948B6"/>
    <w:rsid w:val="008B046E"/>
    <w:rsid w:val="008C2BD6"/>
    <w:rsid w:val="008C3055"/>
    <w:rsid w:val="008C5A14"/>
    <w:rsid w:val="008D7A34"/>
    <w:rsid w:val="008D7EBC"/>
    <w:rsid w:val="008E2CDE"/>
    <w:rsid w:val="008E4E45"/>
    <w:rsid w:val="00902BAF"/>
    <w:rsid w:val="00917742"/>
    <w:rsid w:val="00923398"/>
    <w:rsid w:val="00924C98"/>
    <w:rsid w:val="00925945"/>
    <w:rsid w:val="00927466"/>
    <w:rsid w:val="00931AC8"/>
    <w:rsid w:val="00933C5B"/>
    <w:rsid w:val="00941848"/>
    <w:rsid w:val="00942815"/>
    <w:rsid w:val="00946A49"/>
    <w:rsid w:val="00950D4A"/>
    <w:rsid w:val="00953501"/>
    <w:rsid w:val="0097019B"/>
    <w:rsid w:val="00971644"/>
    <w:rsid w:val="009726EC"/>
    <w:rsid w:val="00974B15"/>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700B6"/>
    <w:rsid w:val="00A7294B"/>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36F51"/>
    <w:rsid w:val="00B408AB"/>
    <w:rsid w:val="00B412F4"/>
    <w:rsid w:val="00B5426A"/>
    <w:rsid w:val="00B569F9"/>
    <w:rsid w:val="00B5730D"/>
    <w:rsid w:val="00B720ED"/>
    <w:rsid w:val="00B84C5F"/>
    <w:rsid w:val="00B8791F"/>
    <w:rsid w:val="00BA6179"/>
    <w:rsid w:val="00BB08EA"/>
    <w:rsid w:val="00BB0CFC"/>
    <w:rsid w:val="00BB0E42"/>
    <w:rsid w:val="00BB5BA6"/>
    <w:rsid w:val="00BD15A7"/>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4EEE"/>
    <w:rsid w:val="00CA11AF"/>
    <w:rsid w:val="00CA6998"/>
    <w:rsid w:val="00CB0E21"/>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92604"/>
    <w:rsid w:val="00DA2E15"/>
    <w:rsid w:val="00DA5E04"/>
    <w:rsid w:val="00DB4F39"/>
    <w:rsid w:val="00DB65EC"/>
    <w:rsid w:val="00DB66D7"/>
    <w:rsid w:val="00DC1127"/>
    <w:rsid w:val="00DC20F5"/>
    <w:rsid w:val="00DC5DFF"/>
    <w:rsid w:val="00DE3C6E"/>
    <w:rsid w:val="00DE4E0A"/>
    <w:rsid w:val="00DE5306"/>
    <w:rsid w:val="00DF3B8D"/>
    <w:rsid w:val="00E1242F"/>
    <w:rsid w:val="00E22530"/>
    <w:rsid w:val="00E25D8F"/>
    <w:rsid w:val="00E27848"/>
    <w:rsid w:val="00E32C9B"/>
    <w:rsid w:val="00E3425C"/>
    <w:rsid w:val="00E41F18"/>
    <w:rsid w:val="00E42E44"/>
    <w:rsid w:val="00E52A1C"/>
    <w:rsid w:val="00E53343"/>
    <w:rsid w:val="00E53370"/>
    <w:rsid w:val="00E574DB"/>
    <w:rsid w:val="00E642E5"/>
    <w:rsid w:val="00E65C70"/>
    <w:rsid w:val="00E74378"/>
    <w:rsid w:val="00E773A1"/>
    <w:rsid w:val="00E77C27"/>
    <w:rsid w:val="00E82FFC"/>
    <w:rsid w:val="00E92AD3"/>
    <w:rsid w:val="00E9414F"/>
    <w:rsid w:val="00E9540B"/>
    <w:rsid w:val="00EA2604"/>
    <w:rsid w:val="00EB1821"/>
    <w:rsid w:val="00EB5FF1"/>
    <w:rsid w:val="00EB6336"/>
    <w:rsid w:val="00EC03E9"/>
    <w:rsid w:val="00ED5185"/>
    <w:rsid w:val="00ED6308"/>
    <w:rsid w:val="00EE6F83"/>
    <w:rsid w:val="00EF6AC5"/>
    <w:rsid w:val="00F0519C"/>
    <w:rsid w:val="00F07C18"/>
    <w:rsid w:val="00F10632"/>
    <w:rsid w:val="00F166DD"/>
    <w:rsid w:val="00F17563"/>
    <w:rsid w:val="00F20D83"/>
    <w:rsid w:val="00F210BA"/>
    <w:rsid w:val="00F353D9"/>
    <w:rsid w:val="00F3688E"/>
    <w:rsid w:val="00F446A0"/>
    <w:rsid w:val="00F44AC9"/>
    <w:rsid w:val="00F6490C"/>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D7448"/>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69510675">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37864310">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13</cp:revision>
  <cp:lastPrinted>2025-07-09T18:26:00Z</cp:lastPrinted>
  <dcterms:created xsi:type="dcterms:W3CDTF">2026-01-20T17:38:00Z</dcterms:created>
  <dcterms:modified xsi:type="dcterms:W3CDTF">2026-02-16T17:29:00Z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