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A190" w14:textId="0036762E" w:rsidR="000969A1" w:rsidRDefault="00C906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608134" wp14:editId="1D915F61">
                <wp:simplePos x="0" y="0"/>
                <wp:positionH relativeFrom="margin">
                  <wp:posOffset>5443</wp:posOffset>
                </wp:positionH>
                <wp:positionV relativeFrom="paragraph">
                  <wp:posOffset>424452</wp:posOffset>
                </wp:positionV>
                <wp:extent cx="585597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4FBAC" w14:textId="720A27C2" w:rsidR="0004114E" w:rsidRDefault="00ED6123" w:rsidP="0004114E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Professional and Staff Development</w:t>
                            </w:r>
                          </w:p>
                          <w:p w14:paraId="1D9D22E1" w14:textId="2A38FF32" w:rsidR="00C90621" w:rsidRPr="008D1CB2" w:rsidRDefault="00C90621" w:rsidP="0004114E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D1CB2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Policy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D6123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1610/7800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608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33.4pt;width:461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" filled="f" stroked="f">
                <v:textbox style="mso-fit-shape-to-text:t">
                  <w:txbxContent>
                    <w:p w14:paraId="4124FBAC" w14:textId="720A27C2" w:rsidR="0004114E" w:rsidRDefault="00ED6123" w:rsidP="0004114E">
                      <w:pPr>
                        <w:spacing w:after="0"/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Professional and Staff Development</w:t>
                      </w:r>
                    </w:p>
                    <w:p w14:paraId="1D9D22E1" w14:textId="2A38FF32" w:rsidR="00C90621" w:rsidRPr="008D1CB2" w:rsidRDefault="00C90621" w:rsidP="0004114E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D1CB2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Policy</w:t>
                      </w: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 xml:space="preserve"> </w:t>
                      </w:r>
                      <w:r w:rsidR="00ED6123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1610/7800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3A566" wp14:editId="593E74FC">
            <wp:simplePos x="0" y="0"/>
            <wp:positionH relativeFrom="margin">
              <wp:align>center</wp:align>
            </wp:positionH>
            <wp:positionV relativeFrom="paragraph">
              <wp:posOffset>-440872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C480" w14:textId="77777777" w:rsidR="00C90621" w:rsidRPr="00C90621" w:rsidRDefault="00C90621" w:rsidP="00C90621"/>
    <w:p w14:paraId="16935DDD" w14:textId="59144E00" w:rsidR="00C90621" w:rsidRPr="00784B60" w:rsidRDefault="00C90621" w:rsidP="00784B60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365C8046" w14:textId="77777777" w:rsidR="004C0CEF" w:rsidRPr="00784B60" w:rsidRDefault="00ED6123" w:rsidP="004C0CEF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 xml:space="preserve">ENCSD is committed to fostering an inclusive, supportive, and highly skilled workforce by providing meaningful and equitable professional and staff development opportunities.  </w:t>
      </w:r>
      <w:r w:rsidR="004C0CEF">
        <w:rPr>
          <w:rFonts w:ascii="Roboto" w:hAnsi="Roboto"/>
        </w:rPr>
        <w:t>ENCSD’s professional development policy shall be implemented in full compliance with all applicable federal and state laws, regulations, and guidelines.</w:t>
      </w:r>
    </w:p>
    <w:p w14:paraId="382E7CC8" w14:textId="1581FA91" w:rsidR="00587E73" w:rsidRDefault="006E3808" w:rsidP="00784B60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 xml:space="preserve">ASL interpreting will be provided for all professional development activities </w:t>
      </w:r>
      <w:r w:rsidR="003D05DE">
        <w:rPr>
          <w:rFonts w:ascii="Roboto" w:hAnsi="Roboto"/>
        </w:rPr>
        <w:t>as required by the ADA and Section 504.</w:t>
      </w:r>
    </w:p>
    <w:p w14:paraId="5205F871" w14:textId="2EADCF13" w:rsidR="00C90621" w:rsidRPr="00784B60" w:rsidRDefault="00000000" w:rsidP="00C90621">
      <w:pPr>
        <w:rPr>
          <w:rFonts w:ascii="Roboto" w:hAnsi="Roboto"/>
        </w:rPr>
      </w:pPr>
      <w:r>
        <w:rPr>
          <w:rFonts w:ascii="Roboto" w:hAnsi="Roboto"/>
        </w:rPr>
        <w:pict w14:anchorId="2C15C714">
          <v:rect id="_x0000_i1025" style="width:0;height:1.5pt" o:hrstd="t" o:hr="t" fillcolor="#a0a0a0" stroked="f"/>
        </w:pict>
      </w:r>
    </w:p>
    <w:p w14:paraId="67064A40" w14:textId="7431284A" w:rsidR="00784B60" w:rsidRDefault="00784B60" w:rsidP="00784B60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</w:pPr>
      <w:r w:rsidRPr="00784B60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Definitions</w:t>
      </w:r>
    </w:p>
    <w:p w14:paraId="57017561" w14:textId="751BF696" w:rsidR="00B5730D" w:rsidRPr="004454DE" w:rsidRDefault="00540394" w:rsidP="002F5E66">
      <w:pPr>
        <w:pStyle w:val="NormalWeb"/>
        <w:numPr>
          <w:ilvl w:val="0"/>
          <w:numId w:val="25"/>
        </w:numPr>
        <w:rPr>
          <w:rStyle w:val="Strong"/>
          <w:rFonts w:ascii="Roboto" w:hAnsi="Roboto"/>
        </w:rPr>
      </w:pPr>
      <w:r>
        <w:rPr>
          <w:rStyle w:val="Strong"/>
          <w:rFonts w:ascii="Roboto" w:eastAsiaTheme="majorEastAsia" w:hAnsi="Roboto"/>
        </w:rPr>
        <w:t xml:space="preserve">Professional Development: </w:t>
      </w:r>
      <w:r w:rsidRPr="00540394">
        <w:rPr>
          <w:rStyle w:val="Strong"/>
          <w:rFonts w:ascii="Roboto" w:eastAsiaTheme="majorEastAsia" w:hAnsi="Roboto"/>
          <w:b w:val="0"/>
          <w:bCs w:val="0"/>
        </w:rPr>
        <w:t>Struct</w:t>
      </w:r>
      <w:r>
        <w:rPr>
          <w:rStyle w:val="Strong"/>
          <w:rFonts w:ascii="Roboto" w:eastAsiaTheme="majorEastAsia" w:hAnsi="Roboto"/>
          <w:b w:val="0"/>
          <w:bCs w:val="0"/>
        </w:rPr>
        <w:t xml:space="preserve">ured </w:t>
      </w:r>
      <w:r w:rsidR="004454DE">
        <w:rPr>
          <w:rStyle w:val="Strong"/>
          <w:rFonts w:ascii="Roboto" w:eastAsiaTheme="majorEastAsia" w:hAnsi="Roboto"/>
          <w:b w:val="0"/>
          <w:bCs w:val="0"/>
        </w:rPr>
        <w:t>learning activities intended to improve the knowledge, skills, and effectiveness of licensed and non-licensed employees</w:t>
      </w:r>
      <w:r w:rsidR="00293B63">
        <w:rPr>
          <w:rStyle w:val="Strong"/>
          <w:rFonts w:ascii="Roboto" w:eastAsiaTheme="majorEastAsia" w:hAnsi="Roboto"/>
          <w:b w:val="0"/>
          <w:bCs w:val="0"/>
        </w:rPr>
        <w:t xml:space="preserve"> per OSHR 25 NCAC O1H.0202 and NCDPI TCP-A-019.</w:t>
      </w:r>
    </w:p>
    <w:p w14:paraId="5DE918C3" w14:textId="59E26432" w:rsidR="004454DE" w:rsidRPr="004454DE" w:rsidRDefault="004454DE" w:rsidP="002F5E66">
      <w:pPr>
        <w:pStyle w:val="NormalWeb"/>
        <w:numPr>
          <w:ilvl w:val="0"/>
          <w:numId w:val="25"/>
        </w:numPr>
        <w:rPr>
          <w:rFonts w:ascii="Roboto" w:hAnsi="Roboto"/>
          <w:b/>
          <w:bCs/>
        </w:rPr>
      </w:pPr>
      <w:r>
        <w:rPr>
          <w:rStyle w:val="Strong"/>
          <w:rFonts w:ascii="Roboto" w:eastAsiaTheme="majorEastAsia" w:hAnsi="Roboto"/>
        </w:rPr>
        <w:t>Licensed Employees:</w:t>
      </w:r>
      <w:r>
        <w:rPr>
          <w:rFonts w:ascii="Roboto" w:hAnsi="Roboto"/>
          <w:b/>
          <w:bCs/>
        </w:rPr>
        <w:t xml:space="preserve"> </w:t>
      </w:r>
      <w:r w:rsidRPr="004454DE">
        <w:rPr>
          <w:rFonts w:ascii="Roboto" w:hAnsi="Roboto"/>
        </w:rPr>
        <w:t>Staff</w:t>
      </w:r>
      <w:r>
        <w:rPr>
          <w:rFonts w:ascii="Roboto" w:hAnsi="Roboto"/>
        </w:rPr>
        <w:t xml:space="preserve"> members who are required by NCDPI to hold licensure for their positions</w:t>
      </w:r>
      <w:r w:rsidR="00293B63">
        <w:rPr>
          <w:rFonts w:ascii="Roboto" w:hAnsi="Roboto"/>
        </w:rPr>
        <w:t xml:space="preserve"> (N.C.G.S. § 115C-270.20)</w:t>
      </w:r>
      <w:r w:rsidR="00A44DD3">
        <w:rPr>
          <w:rFonts w:ascii="Roboto" w:hAnsi="Roboto"/>
        </w:rPr>
        <w:t>.</w:t>
      </w:r>
    </w:p>
    <w:p w14:paraId="507491F2" w14:textId="5D2AB452" w:rsidR="00A072BC" w:rsidRPr="00A44DD3" w:rsidRDefault="004454DE" w:rsidP="00A072BC">
      <w:pPr>
        <w:pStyle w:val="NormalWeb"/>
        <w:numPr>
          <w:ilvl w:val="0"/>
          <w:numId w:val="25"/>
        </w:numPr>
        <w:rPr>
          <w:rFonts w:ascii="Roboto" w:hAnsi="Roboto"/>
          <w:b/>
          <w:bCs/>
        </w:rPr>
      </w:pPr>
      <w:r>
        <w:rPr>
          <w:rStyle w:val="Strong"/>
          <w:rFonts w:ascii="Roboto" w:eastAsiaTheme="majorEastAsia" w:hAnsi="Roboto"/>
        </w:rPr>
        <w:t>Non-</w:t>
      </w:r>
      <w:r>
        <w:rPr>
          <w:rFonts w:ascii="Roboto" w:hAnsi="Roboto"/>
          <w:b/>
          <w:bCs/>
        </w:rPr>
        <w:t xml:space="preserve">licensed employees: </w:t>
      </w:r>
      <w:r w:rsidR="00A072BC">
        <w:rPr>
          <w:rFonts w:ascii="Roboto" w:hAnsi="Roboto"/>
        </w:rPr>
        <w:t>Staff members who are not required to hold licensure through NCDPI but play vital roles in school operations</w:t>
      </w:r>
      <w:r w:rsidR="00A44DD3">
        <w:rPr>
          <w:rFonts w:ascii="Roboto" w:hAnsi="Roboto"/>
        </w:rPr>
        <w:t>.</w:t>
      </w:r>
    </w:p>
    <w:p w14:paraId="27994086" w14:textId="3957E976" w:rsidR="00A44DD3" w:rsidRPr="00D72F56" w:rsidRDefault="00737B3F" w:rsidP="00A072BC">
      <w:pPr>
        <w:pStyle w:val="NormalWeb"/>
        <w:numPr>
          <w:ilvl w:val="0"/>
          <w:numId w:val="25"/>
        </w:numPr>
        <w:rPr>
          <w:rFonts w:ascii="Roboto" w:hAnsi="Roboto"/>
        </w:rPr>
      </w:pPr>
      <w:r>
        <w:rPr>
          <w:rStyle w:val="Strong"/>
          <w:rFonts w:ascii="Roboto" w:eastAsiaTheme="majorEastAsia" w:hAnsi="Roboto"/>
        </w:rPr>
        <w:t xml:space="preserve">Continuing Education Unit (CEU): </w:t>
      </w:r>
      <w:r w:rsidR="005B518B">
        <w:rPr>
          <w:rStyle w:val="Strong"/>
          <w:rFonts w:ascii="Roboto" w:eastAsiaTheme="majorEastAsia" w:hAnsi="Roboto"/>
          <w:b w:val="0"/>
          <w:bCs w:val="0"/>
        </w:rPr>
        <w:t>A standard measure of participation in qualified, non-credit, professional education and training programs</w:t>
      </w:r>
    </w:p>
    <w:p w14:paraId="5565E2B3" w14:textId="342B7054" w:rsidR="00AB7775" w:rsidRPr="00A072BC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52E23955">
          <v:rect id="_x0000_i1026" style="width:0;height:1.5pt" o:hrstd="t" o:hr="t" fillcolor="#a0a0a0" stroked="f"/>
        </w:pict>
      </w:r>
    </w:p>
    <w:p w14:paraId="331C776C" w14:textId="10056408" w:rsidR="00784B60" w:rsidRPr="00784B60" w:rsidRDefault="00784B60" w:rsidP="00784B60">
      <w:pPr>
        <w:rPr>
          <w:rFonts w:ascii="Roboto" w:hAnsi="Roboto"/>
          <w:b/>
          <w:bCs/>
        </w:rPr>
      </w:pPr>
      <w:r w:rsidRPr="00784B60">
        <w:rPr>
          <w:rFonts w:ascii="Roboto" w:hAnsi="Roboto"/>
          <w:b/>
          <w:bCs/>
        </w:rPr>
        <w:t xml:space="preserve">I. </w:t>
      </w:r>
      <w:r w:rsidR="00A072BC">
        <w:rPr>
          <w:rFonts w:ascii="Roboto" w:hAnsi="Roboto"/>
          <w:b/>
          <w:bCs/>
        </w:rPr>
        <w:t>Policy Statement</w:t>
      </w:r>
    </w:p>
    <w:p w14:paraId="661E2C3F" w14:textId="20A88905" w:rsidR="00784B60" w:rsidRDefault="00A072BC" w:rsidP="00784B60">
      <w:pPr>
        <w:rPr>
          <w:rFonts w:ascii="Roboto" w:hAnsi="Roboto"/>
        </w:rPr>
      </w:pPr>
      <w:r>
        <w:rPr>
          <w:rFonts w:ascii="Roboto" w:hAnsi="Roboto"/>
        </w:rPr>
        <w:t>Professional development is essential to supporting student achievement, staff retention, equity, and a positive school culture.  ENCSD requires all employees, licensed and non-licensed, to engage in ongoing professional learning as a condition of employment and to meet licensure</w:t>
      </w:r>
      <w:r w:rsidR="00D72F56">
        <w:rPr>
          <w:rFonts w:ascii="Roboto" w:hAnsi="Roboto"/>
        </w:rPr>
        <w:t xml:space="preserve"> (NCDPI 16 NCAC 06C.0401)</w:t>
      </w:r>
      <w:r>
        <w:rPr>
          <w:rFonts w:ascii="Roboto" w:hAnsi="Roboto"/>
        </w:rPr>
        <w:t>, performance</w:t>
      </w:r>
      <w:r w:rsidR="00D72F56">
        <w:rPr>
          <w:rFonts w:ascii="Roboto" w:hAnsi="Roboto"/>
        </w:rPr>
        <w:t xml:space="preserve"> (OSHR 25 NCAC 01l.2307)</w:t>
      </w:r>
      <w:r>
        <w:rPr>
          <w:rFonts w:ascii="Roboto" w:hAnsi="Roboto"/>
        </w:rPr>
        <w:t xml:space="preserve">, and compliance </w:t>
      </w:r>
      <w:r w:rsidR="006A64DB">
        <w:rPr>
          <w:rFonts w:ascii="Roboto" w:hAnsi="Roboto"/>
        </w:rPr>
        <w:t xml:space="preserve">(FERPA, OSHA, ADA) </w:t>
      </w:r>
      <w:r>
        <w:rPr>
          <w:rFonts w:ascii="Roboto" w:hAnsi="Roboto"/>
        </w:rPr>
        <w:t>standards.</w:t>
      </w:r>
    </w:p>
    <w:p w14:paraId="0B421F71" w14:textId="78E66577" w:rsidR="00A072BC" w:rsidRDefault="00A072BC" w:rsidP="00784B60">
      <w:pPr>
        <w:rPr>
          <w:rFonts w:ascii="Roboto" w:hAnsi="Roboto"/>
        </w:rPr>
      </w:pPr>
      <w:r>
        <w:rPr>
          <w:rFonts w:ascii="Roboto" w:hAnsi="Roboto"/>
        </w:rPr>
        <w:t>ENCSD will provide high-quality, job-embedded, and accessible professional learning that:</w:t>
      </w:r>
    </w:p>
    <w:p w14:paraId="7540424B" w14:textId="256B51CB" w:rsidR="00A072BC" w:rsidRDefault="00A072BC" w:rsidP="00A072BC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lastRenderedPageBreak/>
        <w:t>Supports school improvement priorities</w:t>
      </w:r>
    </w:p>
    <w:p w14:paraId="6B803758" w14:textId="055D09EB" w:rsidR="00A072BC" w:rsidRDefault="00A072BC" w:rsidP="00A072BC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t>Reflects the unique needs of a Deaf and hard of hearing population</w:t>
      </w:r>
    </w:p>
    <w:p w14:paraId="3686780C" w14:textId="0675882E" w:rsidR="00A072BC" w:rsidRDefault="00A072BC" w:rsidP="00A072BC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t>Aligns with state and federal guidelines</w:t>
      </w:r>
    </w:p>
    <w:p w14:paraId="2BC7E836" w14:textId="09F0AD49" w:rsidR="00A072BC" w:rsidRDefault="00A072BC" w:rsidP="00A072BC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t>Promotes ethical behavior, cultural responsiveness, and inclusive practices</w:t>
      </w:r>
    </w:p>
    <w:p w14:paraId="04C61EA9" w14:textId="363D03A2" w:rsidR="00A072BC" w:rsidRDefault="00A072BC" w:rsidP="00A072BC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t>Advances communication, including ASL fluency and cultural competency</w:t>
      </w:r>
    </w:p>
    <w:p w14:paraId="050E4472" w14:textId="5093E08B" w:rsidR="001D0E5D" w:rsidRPr="00A072BC" w:rsidRDefault="001D0E5D" w:rsidP="00A072BC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t>Facilitates the earning of Continuing Education Units (CEUs) for licensed staff to meet renewal requirements and enhance instructional expertise.</w:t>
      </w:r>
    </w:p>
    <w:p w14:paraId="5A2F6CFB" w14:textId="77777777" w:rsidR="00784B60" w:rsidRPr="00784B60" w:rsidRDefault="0000000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00AB0B5A">
          <v:rect id="_x0000_i1027" style="width:0;height:1.5pt" o:hralign="center" o:hrstd="t" o:hr="t" fillcolor="#a0a0a0" stroked="f"/>
        </w:pict>
      </w:r>
    </w:p>
    <w:p w14:paraId="6874D26A" w14:textId="2C78153A" w:rsidR="00784B60" w:rsidRP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II</w:t>
      </w:r>
      <w:r w:rsidRPr="00784B60">
        <w:rPr>
          <w:rFonts w:ascii="Roboto" w:hAnsi="Roboto"/>
          <w:b/>
          <w:bCs/>
        </w:rPr>
        <w:t xml:space="preserve">. </w:t>
      </w:r>
      <w:r w:rsidR="00A072BC">
        <w:rPr>
          <w:rFonts w:ascii="Roboto" w:hAnsi="Roboto"/>
          <w:b/>
          <w:bCs/>
        </w:rPr>
        <w:t>Professional Learning Expectations</w:t>
      </w:r>
    </w:p>
    <w:p w14:paraId="3F639233" w14:textId="09F5E4F1" w:rsidR="0028647E" w:rsidRDefault="008A3FA3" w:rsidP="008A3FA3">
      <w:pPr>
        <w:pStyle w:val="ListParagraph"/>
        <w:numPr>
          <w:ilvl w:val="0"/>
          <w:numId w:val="33"/>
        </w:numPr>
        <w:rPr>
          <w:rFonts w:ascii="Roboto" w:hAnsi="Roboto"/>
        </w:rPr>
      </w:pPr>
      <w:r>
        <w:rPr>
          <w:rFonts w:ascii="Roboto" w:hAnsi="Roboto"/>
        </w:rPr>
        <w:t>Licensed Staff</w:t>
      </w:r>
    </w:p>
    <w:p w14:paraId="1144DDFF" w14:textId="4B7ED4B4" w:rsidR="006A64DB" w:rsidRPr="006A64DB" w:rsidRDefault="008A3FA3" w:rsidP="006A64DB">
      <w:pPr>
        <w:pStyle w:val="ListParagraph"/>
        <w:numPr>
          <w:ilvl w:val="1"/>
          <w:numId w:val="33"/>
        </w:numPr>
        <w:rPr>
          <w:rFonts w:ascii="Roboto" w:hAnsi="Roboto"/>
        </w:rPr>
      </w:pPr>
      <w:r>
        <w:rPr>
          <w:rFonts w:ascii="Roboto" w:hAnsi="Roboto"/>
        </w:rPr>
        <w:t>Must participate in annual professional development to maintain licensure as required by NCDPI</w:t>
      </w:r>
      <w:r w:rsidR="006A64DB">
        <w:rPr>
          <w:rFonts w:ascii="Roboto" w:hAnsi="Roboto"/>
        </w:rPr>
        <w:t xml:space="preserve"> (16 NCAC 06C.0402)</w:t>
      </w:r>
    </w:p>
    <w:p w14:paraId="0BF630EE" w14:textId="5CE4B0FF" w:rsidR="00092364" w:rsidRDefault="00092364" w:rsidP="008A3FA3">
      <w:pPr>
        <w:pStyle w:val="ListParagraph"/>
        <w:numPr>
          <w:ilvl w:val="1"/>
          <w:numId w:val="33"/>
        </w:numPr>
        <w:rPr>
          <w:rFonts w:ascii="Roboto" w:hAnsi="Roboto"/>
        </w:rPr>
      </w:pPr>
      <w:r>
        <w:rPr>
          <w:rFonts w:ascii="Roboto" w:hAnsi="Roboto"/>
        </w:rPr>
        <w:t>Required to complete training in ASL, Deaf Culture, instructional practices, digital learning, equity, and compliance topics</w:t>
      </w:r>
    </w:p>
    <w:p w14:paraId="276D2FC7" w14:textId="06E17F83" w:rsidR="00092364" w:rsidRDefault="00092364" w:rsidP="008A3FA3">
      <w:pPr>
        <w:pStyle w:val="ListParagraph"/>
        <w:numPr>
          <w:ilvl w:val="1"/>
          <w:numId w:val="33"/>
        </w:numPr>
        <w:rPr>
          <w:rFonts w:ascii="Roboto" w:hAnsi="Roboto"/>
        </w:rPr>
      </w:pPr>
      <w:r>
        <w:rPr>
          <w:rFonts w:ascii="Roboto" w:hAnsi="Roboto"/>
        </w:rPr>
        <w:t>Participation is tracked through NCEES</w:t>
      </w:r>
    </w:p>
    <w:p w14:paraId="2FD16830" w14:textId="7B4D7C28" w:rsidR="00B41398" w:rsidRDefault="00B41398" w:rsidP="00B41398">
      <w:pPr>
        <w:pStyle w:val="ListParagraph"/>
        <w:numPr>
          <w:ilvl w:val="0"/>
          <w:numId w:val="33"/>
        </w:numPr>
        <w:rPr>
          <w:rFonts w:ascii="Roboto" w:hAnsi="Roboto"/>
        </w:rPr>
      </w:pPr>
      <w:r>
        <w:rPr>
          <w:rFonts w:ascii="Roboto" w:hAnsi="Roboto"/>
        </w:rPr>
        <w:t>Non-licensed Staff</w:t>
      </w:r>
    </w:p>
    <w:p w14:paraId="4848A0F2" w14:textId="5DB8E8A4" w:rsidR="00B41398" w:rsidRDefault="00B41398" w:rsidP="00B41398">
      <w:pPr>
        <w:pStyle w:val="ListParagraph"/>
        <w:numPr>
          <w:ilvl w:val="1"/>
          <w:numId w:val="33"/>
        </w:numPr>
        <w:rPr>
          <w:rFonts w:ascii="Roboto" w:hAnsi="Roboto"/>
        </w:rPr>
      </w:pPr>
      <w:r>
        <w:rPr>
          <w:rFonts w:ascii="Roboto" w:hAnsi="Roboto"/>
        </w:rPr>
        <w:t>Required to attend ENCSD-sponsored staff development that supports job performance, safety, communication (including ASL classes), and understanding Deaf Culture</w:t>
      </w:r>
    </w:p>
    <w:p w14:paraId="3BBAA91B" w14:textId="5A4993C3" w:rsidR="00B41398" w:rsidRDefault="00B41398" w:rsidP="00B41398">
      <w:pPr>
        <w:pStyle w:val="ListParagraph"/>
        <w:numPr>
          <w:ilvl w:val="1"/>
          <w:numId w:val="33"/>
        </w:numPr>
        <w:rPr>
          <w:rFonts w:ascii="Roboto" w:hAnsi="Roboto"/>
        </w:rPr>
      </w:pPr>
      <w:r>
        <w:rPr>
          <w:rFonts w:ascii="Roboto" w:hAnsi="Roboto"/>
        </w:rPr>
        <w:t>May be required to complete additional training based on departmental needs</w:t>
      </w:r>
      <w:r w:rsidR="008654E1">
        <w:rPr>
          <w:rFonts w:ascii="Roboto" w:hAnsi="Roboto"/>
        </w:rPr>
        <w:t xml:space="preserve"> (examples: CPI, CPR, OSHA, etc.)</w:t>
      </w:r>
    </w:p>
    <w:p w14:paraId="1D74B6B5" w14:textId="551EDAC1" w:rsidR="008654E1" w:rsidRDefault="008654E1" w:rsidP="008654E1">
      <w:pPr>
        <w:pStyle w:val="ListParagraph"/>
        <w:numPr>
          <w:ilvl w:val="0"/>
          <w:numId w:val="33"/>
        </w:numPr>
        <w:rPr>
          <w:rFonts w:ascii="Roboto" w:hAnsi="Roboto"/>
        </w:rPr>
      </w:pPr>
      <w:r>
        <w:rPr>
          <w:rFonts w:ascii="Roboto" w:hAnsi="Roboto"/>
        </w:rPr>
        <w:t>ASL Proficiency Development</w:t>
      </w:r>
    </w:p>
    <w:p w14:paraId="6F23192C" w14:textId="48A832A2" w:rsidR="008654E1" w:rsidRDefault="008654E1" w:rsidP="008654E1">
      <w:pPr>
        <w:pStyle w:val="ListParagraph"/>
        <w:numPr>
          <w:ilvl w:val="1"/>
          <w:numId w:val="33"/>
        </w:numPr>
        <w:rPr>
          <w:rFonts w:ascii="Roboto" w:hAnsi="Roboto"/>
        </w:rPr>
      </w:pPr>
      <w:r>
        <w:rPr>
          <w:rFonts w:ascii="Roboto" w:hAnsi="Roboto"/>
        </w:rPr>
        <w:t xml:space="preserve">Staff members who are not fluent in American Sign Language are required to attend ASL instruction </w:t>
      </w:r>
      <w:r w:rsidR="001D0E5D">
        <w:rPr>
          <w:rFonts w:ascii="Roboto" w:hAnsi="Roboto"/>
        </w:rPr>
        <w:t xml:space="preserve">two (2) to </w:t>
      </w:r>
      <w:r>
        <w:rPr>
          <w:rFonts w:ascii="Roboto" w:hAnsi="Roboto"/>
        </w:rPr>
        <w:t>three (3) days per week during the school year or as otherwise scheduled</w:t>
      </w:r>
    </w:p>
    <w:p w14:paraId="2D81DF8A" w14:textId="3673CF92" w:rsidR="008654E1" w:rsidRDefault="008654E1" w:rsidP="008654E1">
      <w:pPr>
        <w:pStyle w:val="ListParagraph"/>
        <w:numPr>
          <w:ilvl w:val="1"/>
          <w:numId w:val="33"/>
        </w:numPr>
        <w:rPr>
          <w:rFonts w:ascii="Roboto" w:hAnsi="Roboto"/>
        </w:rPr>
      </w:pPr>
      <w:r>
        <w:rPr>
          <w:rFonts w:ascii="Roboto" w:hAnsi="Roboto"/>
        </w:rPr>
        <w:t xml:space="preserve">ASL classes are considered a </w:t>
      </w:r>
      <w:r w:rsidR="008E3B64">
        <w:rPr>
          <w:rFonts w:ascii="Roboto" w:hAnsi="Roboto"/>
        </w:rPr>
        <w:t>required component of job-related professional development and are essential for fostering inclusive communication throughout the school.</w:t>
      </w:r>
    </w:p>
    <w:p w14:paraId="4C011243" w14:textId="24837E7A" w:rsidR="008E3B64" w:rsidRDefault="008E3B64" w:rsidP="008E3B64">
      <w:pPr>
        <w:pStyle w:val="ListParagraph"/>
        <w:numPr>
          <w:ilvl w:val="0"/>
          <w:numId w:val="33"/>
        </w:numPr>
        <w:rPr>
          <w:rFonts w:ascii="Roboto" w:hAnsi="Roboto"/>
        </w:rPr>
      </w:pPr>
      <w:r>
        <w:rPr>
          <w:rFonts w:ascii="Roboto" w:hAnsi="Roboto"/>
        </w:rPr>
        <w:t>Annual Training Requirements</w:t>
      </w:r>
    </w:p>
    <w:p w14:paraId="51C70BB3" w14:textId="0C8B15C9" w:rsidR="008E3B64" w:rsidRDefault="008E3B64" w:rsidP="008E3B64">
      <w:pPr>
        <w:pStyle w:val="ListParagraph"/>
        <w:numPr>
          <w:ilvl w:val="1"/>
          <w:numId w:val="33"/>
        </w:numPr>
        <w:rPr>
          <w:rFonts w:ascii="Roboto" w:hAnsi="Roboto"/>
        </w:rPr>
      </w:pPr>
      <w:r>
        <w:rPr>
          <w:rFonts w:ascii="Roboto" w:hAnsi="Roboto"/>
        </w:rPr>
        <w:t>All Employees are expected to complete annual training in mandatory topics, including but not limited to:</w:t>
      </w:r>
    </w:p>
    <w:p w14:paraId="07BC9EBE" w14:textId="57819167" w:rsidR="008E3B64" w:rsidRDefault="008E3B64" w:rsidP="008E3B64">
      <w:pPr>
        <w:pStyle w:val="ListParagraph"/>
        <w:numPr>
          <w:ilvl w:val="2"/>
          <w:numId w:val="33"/>
        </w:numPr>
        <w:rPr>
          <w:rFonts w:ascii="Roboto" w:hAnsi="Roboto"/>
        </w:rPr>
      </w:pPr>
      <w:r>
        <w:rPr>
          <w:rFonts w:ascii="Roboto" w:hAnsi="Roboto"/>
        </w:rPr>
        <w:t>Child abuse and mandatory reporting</w:t>
      </w:r>
      <w:r w:rsidR="00B51828">
        <w:rPr>
          <w:rFonts w:ascii="Roboto" w:hAnsi="Roboto"/>
        </w:rPr>
        <w:t xml:space="preserve"> (N.C.G.S. 7B-301)</w:t>
      </w:r>
    </w:p>
    <w:p w14:paraId="23258AEF" w14:textId="06F0628E" w:rsidR="008E3B64" w:rsidRDefault="008E3B64" w:rsidP="008E3B64">
      <w:pPr>
        <w:pStyle w:val="ListParagraph"/>
        <w:numPr>
          <w:ilvl w:val="2"/>
          <w:numId w:val="33"/>
        </w:numPr>
        <w:rPr>
          <w:rFonts w:ascii="Roboto" w:hAnsi="Roboto"/>
        </w:rPr>
      </w:pPr>
      <w:r>
        <w:rPr>
          <w:rFonts w:ascii="Roboto" w:hAnsi="Roboto"/>
        </w:rPr>
        <w:t>FERPA and student data privacy</w:t>
      </w:r>
      <w:r w:rsidR="00B51828">
        <w:rPr>
          <w:rFonts w:ascii="Roboto" w:hAnsi="Roboto"/>
        </w:rPr>
        <w:t xml:space="preserve"> (20 U.S.C. §</w:t>
      </w:r>
      <w:r w:rsidR="000F3E66">
        <w:rPr>
          <w:rFonts w:ascii="Roboto" w:hAnsi="Roboto"/>
        </w:rPr>
        <w:t xml:space="preserve"> 1232g)</w:t>
      </w:r>
    </w:p>
    <w:p w14:paraId="33D7C100" w14:textId="7F922D3B" w:rsidR="008E3B64" w:rsidRDefault="008E3B64" w:rsidP="008E3B64">
      <w:pPr>
        <w:pStyle w:val="ListParagraph"/>
        <w:numPr>
          <w:ilvl w:val="2"/>
          <w:numId w:val="33"/>
        </w:numPr>
        <w:rPr>
          <w:rFonts w:ascii="Roboto" w:hAnsi="Roboto"/>
        </w:rPr>
      </w:pPr>
      <w:r>
        <w:rPr>
          <w:rFonts w:ascii="Roboto" w:hAnsi="Roboto"/>
        </w:rPr>
        <w:t>Civil rights and discrimination</w:t>
      </w:r>
      <w:r w:rsidR="000F3E66">
        <w:rPr>
          <w:rFonts w:ascii="Roboto" w:hAnsi="Roboto"/>
        </w:rPr>
        <w:t xml:space="preserve"> (Title VI, Title IX)</w:t>
      </w:r>
    </w:p>
    <w:p w14:paraId="3B688E5B" w14:textId="6CACE3EE" w:rsidR="008E3B64" w:rsidRDefault="008E3B64" w:rsidP="008E3B64">
      <w:pPr>
        <w:pStyle w:val="ListParagraph"/>
        <w:numPr>
          <w:ilvl w:val="2"/>
          <w:numId w:val="33"/>
        </w:numPr>
        <w:rPr>
          <w:rFonts w:ascii="Roboto" w:hAnsi="Roboto"/>
        </w:rPr>
      </w:pPr>
      <w:r>
        <w:rPr>
          <w:rFonts w:ascii="Roboto" w:hAnsi="Roboto"/>
        </w:rPr>
        <w:t>Workplace safety and emergency procedures</w:t>
      </w:r>
      <w:r w:rsidR="000F3E66">
        <w:rPr>
          <w:rFonts w:ascii="Roboto" w:hAnsi="Roboto"/>
        </w:rPr>
        <w:t xml:space="preserve"> (OSHA 29 CFR 1910)</w:t>
      </w:r>
    </w:p>
    <w:p w14:paraId="5E54D347" w14:textId="05AB888D" w:rsidR="008E3B64" w:rsidRPr="0028647E" w:rsidRDefault="008E3B64" w:rsidP="008E3B64">
      <w:pPr>
        <w:pStyle w:val="ListParagraph"/>
        <w:numPr>
          <w:ilvl w:val="2"/>
          <w:numId w:val="33"/>
        </w:numPr>
        <w:rPr>
          <w:rFonts w:ascii="Roboto" w:hAnsi="Roboto"/>
        </w:rPr>
      </w:pPr>
      <w:r>
        <w:rPr>
          <w:rFonts w:ascii="Roboto" w:hAnsi="Roboto"/>
        </w:rPr>
        <w:lastRenderedPageBreak/>
        <w:t>Appropriate staff-student relations</w:t>
      </w:r>
      <w:r w:rsidR="000F3E66">
        <w:rPr>
          <w:rFonts w:ascii="Roboto" w:hAnsi="Roboto"/>
        </w:rPr>
        <w:t xml:space="preserve"> (ENCSD Policy </w:t>
      </w:r>
      <w:r w:rsidR="00D47807">
        <w:rPr>
          <w:rFonts w:ascii="Roboto" w:hAnsi="Roboto"/>
        </w:rPr>
        <w:t>4040/7310</w:t>
      </w:r>
      <w:r w:rsidR="005E5678">
        <w:rPr>
          <w:rFonts w:ascii="Roboto" w:hAnsi="Roboto"/>
        </w:rPr>
        <w:t>)</w:t>
      </w:r>
    </w:p>
    <w:p w14:paraId="2A26CF3D" w14:textId="1733CFAF" w:rsidR="00DB4F39" w:rsidRDefault="0000000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638A454B">
          <v:rect id="_x0000_i1028" style="width:0;height:1.5pt" o:hralign="center" o:hrstd="t" o:hr="t" fillcolor="#a0a0a0" stroked="f"/>
        </w:pict>
      </w:r>
    </w:p>
    <w:p w14:paraId="5E770291" w14:textId="3A262911" w:rsidR="005D6D45" w:rsidRDefault="005D6D45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III. </w:t>
      </w:r>
      <w:r w:rsidR="004B503D">
        <w:rPr>
          <w:rFonts w:ascii="Roboto" w:hAnsi="Roboto"/>
          <w:b/>
          <w:bCs/>
        </w:rPr>
        <w:t>ASL and Accessibility Accommodations</w:t>
      </w:r>
    </w:p>
    <w:p w14:paraId="4F285B64" w14:textId="55570320" w:rsidR="003B6C80" w:rsidRDefault="005D6D45" w:rsidP="004B503D">
      <w:pPr>
        <w:rPr>
          <w:rFonts w:ascii="Roboto" w:hAnsi="Roboto"/>
        </w:rPr>
      </w:pPr>
      <w:r>
        <w:rPr>
          <w:rFonts w:ascii="Roboto" w:hAnsi="Roboto"/>
        </w:rPr>
        <w:t xml:space="preserve">ENCSD </w:t>
      </w:r>
      <w:r w:rsidR="004B503D">
        <w:rPr>
          <w:rFonts w:ascii="Roboto" w:hAnsi="Roboto"/>
        </w:rPr>
        <w:t>is committed to ensuring that all professional development opportunities are accessible to Deaf and hard of hearing staff</w:t>
      </w:r>
      <w:r w:rsidR="00102691">
        <w:rPr>
          <w:rFonts w:ascii="Roboto" w:hAnsi="Roboto"/>
        </w:rPr>
        <w:t>.</w:t>
      </w:r>
    </w:p>
    <w:p w14:paraId="0A2397B1" w14:textId="6DC2B963" w:rsidR="00102691" w:rsidRDefault="00102691" w:rsidP="004B503D">
      <w:pPr>
        <w:rPr>
          <w:rFonts w:ascii="Roboto" w:hAnsi="Roboto"/>
        </w:rPr>
      </w:pPr>
      <w:r>
        <w:rPr>
          <w:rFonts w:ascii="Roboto" w:hAnsi="Roboto"/>
        </w:rPr>
        <w:t>The following accommodations will be made as appropriate:</w:t>
      </w:r>
    </w:p>
    <w:p w14:paraId="088F9A72" w14:textId="7E352410" w:rsidR="00102691" w:rsidRPr="00102691" w:rsidRDefault="00102691" w:rsidP="00102691">
      <w:pPr>
        <w:pStyle w:val="ListParagraph"/>
        <w:numPr>
          <w:ilvl w:val="0"/>
          <w:numId w:val="35"/>
        </w:numPr>
        <w:rPr>
          <w:rFonts w:ascii="Roboto" w:hAnsi="Roboto"/>
        </w:rPr>
      </w:pPr>
      <w:r w:rsidRPr="00102691">
        <w:rPr>
          <w:rFonts w:ascii="Roboto" w:hAnsi="Roboto"/>
        </w:rPr>
        <w:t>ASL interpretation</w:t>
      </w:r>
    </w:p>
    <w:p w14:paraId="66BAECEC" w14:textId="452CB2F5" w:rsidR="00102691" w:rsidRPr="00102691" w:rsidRDefault="00102691" w:rsidP="00102691">
      <w:pPr>
        <w:pStyle w:val="ListParagraph"/>
        <w:numPr>
          <w:ilvl w:val="0"/>
          <w:numId w:val="35"/>
        </w:numPr>
        <w:rPr>
          <w:rFonts w:ascii="Roboto" w:hAnsi="Roboto"/>
        </w:rPr>
      </w:pPr>
      <w:r w:rsidRPr="00102691">
        <w:rPr>
          <w:rFonts w:ascii="Roboto" w:hAnsi="Roboto"/>
        </w:rPr>
        <w:t>Captioned videos and presentations</w:t>
      </w:r>
    </w:p>
    <w:p w14:paraId="768E90F0" w14:textId="096274F4" w:rsidR="00102691" w:rsidRPr="00102691" w:rsidRDefault="00102691" w:rsidP="00102691">
      <w:pPr>
        <w:pStyle w:val="ListParagraph"/>
        <w:numPr>
          <w:ilvl w:val="0"/>
          <w:numId w:val="35"/>
        </w:numPr>
        <w:rPr>
          <w:rFonts w:ascii="Roboto" w:hAnsi="Roboto"/>
        </w:rPr>
      </w:pPr>
      <w:r w:rsidRPr="00102691">
        <w:rPr>
          <w:rFonts w:ascii="Roboto" w:hAnsi="Roboto"/>
        </w:rPr>
        <w:t>Written transcripts of audio content</w:t>
      </w:r>
    </w:p>
    <w:p w14:paraId="6781473D" w14:textId="31985614" w:rsidR="00102691" w:rsidRPr="00102691" w:rsidRDefault="00102691" w:rsidP="00102691">
      <w:pPr>
        <w:pStyle w:val="ListParagraph"/>
        <w:numPr>
          <w:ilvl w:val="0"/>
          <w:numId w:val="35"/>
        </w:numPr>
        <w:rPr>
          <w:rFonts w:ascii="Roboto" w:hAnsi="Roboto"/>
        </w:rPr>
      </w:pPr>
      <w:r w:rsidRPr="00102691">
        <w:rPr>
          <w:rFonts w:ascii="Roboto" w:hAnsi="Roboto"/>
        </w:rPr>
        <w:t>Accessible presentation materials</w:t>
      </w:r>
    </w:p>
    <w:p w14:paraId="580627D0" w14:textId="523C1B11" w:rsidR="00102691" w:rsidRPr="00102691" w:rsidRDefault="00102691" w:rsidP="00102691">
      <w:pPr>
        <w:pStyle w:val="ListParagraph"/>
        <w:numPr>
          <w:ilvl w:val="0"/>
          <w:numId w:val="35"/>
        </w:numPr>
        <w:rPr>
          <w:rFonts w:ascii="Roboto" w:hAnsi="Roboto"/>
        </w:rPr>
      </w:pPr>
      <w:r w:rsidRPr="00102691">
        <w:rPr>
          <w:rFonts w:ascii="Roboto" w:hAnsi="Roboto"/>
        </w:rPr>
        <w:t>Deaf-friendly delivery practices</w:t>
      </w:r>
    </w:p>
    <w:p w14:paraId="4EBE8E10" w14:textId="7896FABE" w:rsidR="00102691" w:rsidRDefault="00102691" w:rsidP="004B503D">
      <w:pPr>
        <w:rPr>
          <w:rFonts w:ascii="Roboto" w:hAnsi="Roboto"/>
        </w:rPr>
      </w:pPr>
      <w:r>
        <w:rPr>
          <w:rFonts w:ascii="Roboto" w:hAnsi="Roboto"/>
        </w:rPr>
        <w:t>Supervisors and Human Resources will work with staff in advance to arrange necessary accommodations.</w:t>
      </w:r>
    </w:p>
    <w:p w14:paraId="6D1D30EE" w14:textId="2129FDE1" w:rsidR="003B6C80" w:rsidRDefault="00000000" w:rsidP="00784B60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4796BD0">
          <v:rect id="_x0000_i1029" style="width:0;height:1.5pt" o:hralign="center" o:hrstd="t" o:hr="t" fillcolor="#a0a0a0" stroked="f"/>
        </w:pict>
      </w:r>
    </w:p>
    <w:p w14:paraId="6DC1E48C" w14:textId="1E7D06C3" w:rsid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="003B6C80">
        <w:rPr>
          <w:rFonts w:ascii="Roboto" w:hAnsi="Roboto"/>
          <w:b/>
          <w:bCs/>
        </w:rPr>
        <w:t>V</w:t>
      </w:r>
      <w:r w:rsidRPr="00784B60">
        <w:rPr>
          <w:rFonts w:ascii="Roboto" w:hAnsi="Roboto"/>
          <w:b/>
          <w:bCs/>
        </w:rPr>
        <w:t xml:space="preserve">. </w:t>
      </w:r>
      <w:r w:rsidR="00102691">
        <w:rPr>
          <w:rFonts w:ascii="Roboto" w:hAnsi="Roboto"/>
          <w:b/>
          <w:bCs/>
        </w:rPr>
        <w:t>Planning and Implementation</w:t>
      </w:r>
    </w:p>
    <w:p w14:paraId="2B19C65D" w14:textId="490C12D7" w:rsidR="0028647E" w:rsidRDefault="00102691" w:rsidP="00784B60">
      <w:pPr>
        <w:rPr>
          <w:rFonts w:ascii="Roboto" w:hAnsi="Roboto"/>
        </w:rPr>
      </w:pPr>
      <w:r>
        <w:rPr>
          <w:rFonts w:ascii="Roboto" w:hAnsi="Roboto"/>
        </w:rPr>
        <w:t>The Superintendent or designee shall:</w:t>
      </w:r>
    </w:p>
    <w:p w14:paraId="4CD2A189" w14:textId="18B2C04E" w:rsidR="0002610D" w:rsidRDefault="00102691" w:rsidP="0002610D">
      <w:pPr>
        <w:pStyle w:val="ListParagraph"/>
        <w:numPr>
          <w:ilvl w:val="0"/>
          <w:numId w:val="25"/>
        </w:numPr>
        <w:rPr>
          <w:rFonts w:ascii="Roboto" w:hAnsi="Roboto"/>
        </w:rPr>
      </w:pPr>
      <w:r>
        <w:rPr>
          <w:rFonts w:ascii="Roboto" w:hAnsi="Roboto"/>
        </w:rPr>
        <w:t>Ensure alignment of all professional development offers with ENCSD’s strategic goals and state requirements</w:t>
      </w:r>
    </w:p>
    <w:p w14:paraId="2E03920A" w14:textId="011B4DA1" w:rsidR="00102691" w:rsidRDefault="00102691" w:rsidP="0002610D">
      <w:pPr>
        <w:pStyle w:val="ListParagraph"/>
        <w:numPr>
          <w:ilvl w:val="0"/>
          <w:numId w:val="25"/>
        </w:numPr>
        <w:rPr>
          <w:rFonts w:ascii="Roboto" w:hAnsi="Roboto"/>
        </w:rPr>
      </w:pPr>
      <w:r>
        <w:rPr>
          <w:rFonts w:ascii="Roboto" w:hAnsi="Roboto"/>
        </w:rPr>
        <w:t>Coordinate with NCDPI and OSHR to maintain</w:t>
      </w:r>
      <w:r w:rsidR="006A1282">
        <w:rPr>
          <w:rFonts w:ascii="Roboto" w:hAnsi="Roboto"/>
        </w:rPr>
        <w:t xml:space="preserve"> compliance with licensure and personnel regulations</w:t>
      </w:r>
    </w:p>
    <w:p w14:paraId="6680A4AC" w14:textId="4521B396" w:rsidR="006A1282" w:rsidRDefault="006A1282" w:rsidP="0002610D">
      <w:pPr>
        <w:pStyle w:val="ListParagraph"/>
        <w:numPr>
          <w:ilvl w:val="0"/>
          <w:numId w:val="25"/>
        </w:numPr>
        <w:rPr>
          <w:rFonts w:ascii="Roboto" w:hAnsi="Roboto"/>
        </w:rPr>
      </w:pPr>
      <w:r>
        <w:rPr>
          <w:rFonts w:ascii="Roboto" w:hAnsi="Roboto"/>
        </w:rPr>
        <w:t xml:space="preserve">Allocate time and resources for job-embedded and </w:t>
      </w:r>
      <w:r w:rsidR="003F3DE4">
        <w:rPr>
          <w:rFonts w:ascii="Roboto" w:hAnsi="Roboto"/>
        </w:rPr>
        <w:t>continuous learning</w:t>
      </w:r>
    </w:p>
    <w:p w14:paraId="6CE687D2" w14:textId="675E0BBF" w:rsidR="003F3DE4" w:rsidRDefault="003E0F31" w:rsidP="0002610D">
      <w:pPr>
        <w:pStyle w:val="ListParagraph"/>
        <w:numPr>
          <w:ilvl w:val="0"/>
          <w:numId w:val="25"/>
        </w:numPr>
        <w:rPr>
          <w:rFonts w:ascii="Roboto" w:hAnsi="Roboto"/>
        </w:rPr>
      </w:pPr>
      <w:r>
        <w:rPr>
          <w:rFonts w:ascii="Roboto" w:hAnsi="Roboto"/>
        </w:rPr>
        <w:t>Collaborate with department heads to assess and respond to training needs</w:t>
      </w:r>
    </w:p>
    <w:p w14:paraId="7318D27C" w14:textId="6D968726" w:rsidR="003E0F31" w:rsidRDefault="003E0F31" w:rsidP="0002610D">
      <w:pPr>
        <w:pStyle w:val="ListParagraph"/>
        <w:numPr>
          <w:ilvl w:val="0"/>
          <w:numId w:val="25"/>
        </w:numPr>
        <w:rPr>
          <w:rFonts w:ascii="Roboto" w:hAnsi="Roboto"/>
        </w:rPr>
      </w:pPr>
      <w:r>
        <w:rPr>
          <w:rFonts w:ascii="Roboto" w:hAnsi="Roboto"/>
        </w:rPr>
        <w:t>Monitor and evaluation participation and impact of professional development</w:t>
      </w:r>
    </w:p>
    <w:p w14:paraId="0E5CA464" w14:textId="12405C95" w:rsidR="00E22530" w:rsidRPr="003E0F31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39A833A0">
          <v:rect id="_x0000_i1030" style="width:0;height:1.5pt" o:hralign="center" o:hrstd="t" o:hr="t" fillcolor="#a0a0a0" stroked="f"/>
        </w:pict>
      </w:r>
    </w:p>
    <w:p w14:paraId="774976B9" w14:textId="77777777" w:rsidR="00110BC7" w:rsidRDefault="00110BC7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V. Payment of Costs</w:t>
      </w:r>
    </w:p>
    <w:p w14:paraId="18A4FA10" w14:textId="46E60173" w:rsidR="004D73F1" w:rsidRDefault="004D73F1" w:rsidP="00C86E25">
      <w:pPr>
        <w:rPr>
          <w:rFonts w:ascii="Roboto" w:hAnsi="Roboto"/>
        </w:rPr>
      </w:pPr>
      <w:r>
        <w:rPr>
          <w:rFonts w:ascii="Roboto" w:hAnsi="Roboto"/>
        </w:rPr>
        <w:t>ENCSD will consider paying reasonable costs, within budget limits, for any courses, workshops</w:t>
      </w:r>
      <w:r w:rsidR="003528A3">
        <w:rPr>
          <w:rFonts w:ascii="Roboto" w:hAnsi="Roboto"/>
        </w:rPr>
        <w:t>, seminars, conferences, in-service training session, or other sessions an employee is required to attend.  The employee must seek prior approval to attend</w:t>
      </w:r>
      <w:r w:rsidR="00042054">
        <w:rPr>
          <w:rFonts w:ascii="Roboto" w:hAnsi="Roboto"/>
        </w:rPr>
        <w:t>.</w:t>
      </w:r>
    </w:p>
    <w:p w14:paraId="23EBA6EE" w14:textId="735E531C" w:rsidR="00042054" w:rsidRDefault="00042054" w:rsidP="00C86E25">
      <w:pPr>
        <w:rPr>
          <w:rFonts w:ascii="Roboto" w:hAnsi="Roboto"/>
        </w:rPr>
      </w:pPr>
      <w:r>
        <w:rPr>
          <w:rFonts w:ascii="Roboto" w:hAnsi="Roboto"/>
        </w:rPr>
        <w:t>ENCSD will not bear the responsibility of the cost of training taken solely for the purposes of licensure renewal</w:t>
      </w:r>
      <w:r w:rsidR="00575573">
        <w:rPr>
          <w:rFonts w:ascii="Roboto" w:hAnsi="Roboto"/>
        </w:rPr>
        <w:t>.</w:t>
      </w:r>
    </w:p>
    <w:p w14:paraId="3EE9D002" w14:textId="79EBF31D" w:rsidR="00DF1207" w:rsidRDefault="00575573" w:rsidP="00C86E25">
      <w:pPr>
        <w:rPr>
          <w:rFonts w:ascii="Roboto" w:hAnsi="Roboto"/>
        </w:rPr>
      </w:pPr>
      <w:r>
        <w:rPr>
          <w:rFonts w:ascii="Roboto" w:hAnsi="Roboto"/>
        </w:rPr>
        <w:lastRenderedPageBreak/>
        <w:t>ENCSD may authorize certain personnel to receive reimbursement for travel expenses incurred in the performance of their duties.  Such reimbursement is subject to the availability of funds</w:t>
      </w:r>
      <w:r w:rsidR="00DF1207">
        <w:rPr>
          <w:rFonts w:ascii="Roboto" w:hAnsi="Roboto"/>
        </w:rPr>
        <w:t>.</w:t>
      </w:r>
    </w:p>
    <w:p w14:paraId="0119C262" w14:textId="303E5F50" w:rsidR="002300AD" w:rsidRPr="00E71B90" w:rsidRDefault="00502C19" w:rsidP="00860C77">
      <w:pPr>
        <w:rPr>
          <w:rFonts w:ascii="Roboto" w:hAnsi="Roboto"/>
        </w:rPr>
      </w:pPr>
      <w:r>
        <w:rPr>
          <w:rFonts w:ascii="Roboto" w:hAnsi="Roboto"/>
        </w:rPr>
        <w:t>Mileage</w:t>
      </w:r>
      <w:r w:rsidR="00E71B90">
        <w:rPr>
          <w:rFonts w:ascii="Roboto" w:hAnsi="Roboto"/>
        </w:rPr>
        <w:t xml:space="preserve"> reimbursement rates will be established annually by the state of North Carolina.</w:t>
      </w:r>
    </w:p>
    <w:p w14:paraId="19FFF4FB" w14:textId="04F37468" w:rsidR="0022755B" w:rsidRPr="009A1191" w:rsidRDefault="00000000" w:rsidP="009A1191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BED2D65">
          <v:rect id="_x0000_i1031" style="width:0;height:1.5pt" o:hralign="center" o:hrstd="t" o:hr="t" fillcolor="#a0a0a0" stroked="f"/>
        </w:pict>
      </w:r>
    </w:p>
    <w:p w14:paraId="273E9A3B" w14:textId="63DB39FB" w:rsidR="00C86E25" w:rsidRPr="002300AD" w:rsidRDefault="00C86E25" w:rsidP="002300AD">
      <w:pPr>
        <w:rPr>
          <w:rFonts w:ascii="Roboto" w:hAnsi="Roboto"/>
          <w:b/>
          <w:bCs/>
        </w:rPr>
      </w:pPr>
      <w:r w:rsidRPr="002300AD">
        <w:rPr>
          <w:rFonts w:ascii="Roboto" w:hAnsi="Roboto"/>
          <w:b/>
          <w:bCs/>
        </w:rPr>
        <w:t>V</w:t>
      </w:r>
      <w:r w:rsidR="0022755B">
        <w:rPr>
          <w:rFonts w:ascii="Roboto" w:hAnsi="Roboto"/>
          <w:b/>
          <w:bCs/>
        </w:rPr>
        <w:t>I</w:t>
      </w:r>
      <w:r w:rsidRPr="002300AD">
        <w:rPr>
          <w:rFonts w:ascii="Roboto" w:hAnsi="Roboto"/>
          <w:b/>
          <w:bCs/>
        </w:rPr>
        <w:t xml:space="preserve">. </w:t>
      </w:r>
      <w:r w:rsidR="003E0F31" w:rsidRPr="002300AD">
        <w:rPr>
          <w:rFonts w:ascii="Roboto" w:hAnsi="Roboto"/>
          <w:b/>
          <w:bCs/>
        </w:rPr>
        <w:t>Documentation and Records</w:t>
      </w:r>
    </w:p>
    <w:p w14:paraId="3068C106" w14:textId="2FCFD510" w:rsidR="00F9676D" w:rsidRPr="0002610D" w:rsidRDefault="003E0F31" w:rsidP="00C86E25">
      <w:pPr>
        <w:rPr>
          <w:rFonts w:ascii="Roboto" w:hAnsi="Roboto"/>
        </w:rPr>
      </w:pPr>
      <w:r>
        <w:rPr>
          <w:rFonts w:ascii="Roboto" w:hAnsi="Roboto"/>
        </w:rPr>
        <w:t xml:space="preserve">Participation in required professional development shall be documented and retained in the employee's personnel file or through the </w:t>
      </w:r>
      <w:r w:rsidR="006747CE">
        <w:rPr>
          <w:rFonts w:ascii="Roboto" w:hAnsi="Roboto"/>
        </w:rPr>
        <w:t>state’s designated tracking system.  Failure to participate in required training may result in disciplinary action up to and including dismissal, in accordance with ENCSD policy and OSHR guidance.</w:t>
      </w:r>
    </w:p>
    <w:p w14:paraId="04FE3D6E" w14:textId="6FBFF13B" w:rsidR="0012402B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8832FFE">
          <v:rect id="_x0000_i1032" style="width:0;height:1.5pt" o:hralign="center" o:hrstd="t" o:hr="t" fillcolor="#a0a0a0" stroked="f"/>
        </w:pict>
      </w:r>
    </w:p>
    <w:p w14:paraId="626B0F76" w14:textId="6B646186" w:rsidR="00C86E25" w:rsidRDefault="00C86E25" w:rsidP="00C86E25">
      <w:pPr>
        <w:rPr>
          <w:rFonts w:ascii="Roboto" w:hAnsi="Roboto"/>
          <w:b/>
          <w:bCs/>
        </w:rPr>
      </w:pPr>
      <w:r w:rsidRPr="0012402B">
        <w:rPr>
          <w:rFonts w:ascii="Roboto" w:hAnsi="Roboto"/>
          <w:b/>
          <w:bCs/>
        </w:rPr>
        <w:t>Legal References</w:t>
      </w:r>
    </w:p>
    <w:p w14:paraId="6C5AB811" w14:textId="77777777" w:rsidR="003D7AF4" w:rsidRPr="003D7AF4" w:rsidRDefault="003D7AF4" w:rsidP="003D7AF4">
      <w:pPr>
        <w:numPr>
          <w:ilvl w:val="0"/>
          <w:numId w:val="38"/>
        </w:numPr>
        <w:rPr>
          <w:rFonts w:ascii="Roboto" w:hAnsi="Roboto"/>
        </w:rPr>
      </w:pPr>
      <w:r w:rsidRPr="003D7AF4">
        <w:rPr>
          <w:rFonts w:ascii="Roboto" w:hAnsi="Roboto"/>
        </w:rPr>
        <w:t>Title VI and Title VII of the Civil Rights Act of 1964</w:t>
      </w:r>
    </w:p>
    <w:p w14:paraId="6F546546" w14:textId="77777777" w:rsidR="003D7AF4" w:rsidRPr="003D7AF4" w:rsidRDefault="003D7AF4" w:rsidP="003D7AF4">
      <w:pPr>
        <w:numPr>
          <w:ilvl w:val="0"/>
          <w:numId w:val="38"/>
        </w:numPr>
        <w:rPr>
          <w:rFonts w:ascii="Roboto" w:hAnsi="Roboto"/>
        </w:rPr>
      </w:pPr>
      <w:r w:rsidRPr="003D7AF4">
        <w:rPr>
          <w:rFonts w:ascii="Roboto" w:hAnsi="Roboto"/>
        </w:rPr>
        <w:t>Americans with Disabilities Act (42 U.S.C. § 12101 et seq.)</w:t>
      </w:r>
    </w:p>
    <w:p w14:paraId="13BE2D70" w14:textId="77777777" w:rsidR="003D7AF4" w:rsidRPr="003D7AF4" w:rsidRDefault="003D7AF4" w:rsidP="003D7AF4">
      <w:pPr>
        <w:numPr>
          <w:ilvl w:val="0"/>
          <w:numId w:val="38"/>
        </w:numPr>
        <w:rPr>
          <w:rFonts w:ascii="Roboto" w:hAnsi="Roboto"/>
        </w:rPr>
      </w:pPr>
      <w:r w:rsidRPr="003D7AF4">
        <w:rPr>
          <w:rFonts w:ascii="Roboto" w:hAnsi="Roboto"/>
        </w:rPr>
        <w:t>Section 504 of the Rehabilitation Act (29 U.S.C. § 794)</w:t>
      </w:r>
    </w:p>
    <w:p w14:paraId="01E1D0AC" w14:textId="77777777" w:rsidR="003D7AF4" w:rsidRPr="003D7AF4" w:rsidRDefault="003D7AF4" w:rsidP="003D7AF4">
      <w:pPr>
        <w:numPr>
          <w:ilvl w:val="0"/>
          <w:numId w:val="38"/>
        </w:numPr>
        <w:rPr>
          <w:rFonts w:ascii="Roboto" w:hAnsi="Roboto"/>
        </w:rPr>
      </w:pPr>
      <w:r w:rsidRPr="003D7AF4">
        <w:rPr>
          <w:rFonts w:ascii="Roboto" w:hAnsi="Roboto"/>
        </w:rPr>
        <w:t>Family Educational Rights and Privacy Act (20 U.S.C. § 1232g)</w:t>
      </w:r>
    </w:p>
    <w:p w14:paraId="4F0F05B0" w14:textId="77777777" w:rsidR="003D7AF4" w:rsidRPr="003D7AF4" w:rsidRDefault="003D7AF4" w:rsidP="003D7AF4">
      <w:pPr>
        <w:numPr>
          <w:ilvl w:val="0"/>
          <w:numId w:val="38"/>
        </w:numPr>
        <w:rPr>
          <w:rFonts w:ascii="Roboto" w:hAnsi="Roboto"/>
        </w:rPr>
      </w:pPr>
      <w:r w:rsidRPr="003D7AF4">
        <w:rPr>
          <w:rFonts w:ascii="Roboto" w:hAnsi="Roboto"/>
        </w:rPr>
        <w:t>North Carolina General Statutes Chapter 115C</w:t>
      </w:r>
    </w:p>
    <w:p w14:paraId="0E5A1B6B" w14:textId="77777777" w:rsidR="003D7AF4" w:rsidRPr="003D7AF4" w:rsidRDefault="003D7AF4" w:rsidP="003D7AF4">
      <w:pPr>
        <w:numPr>
          <w:ilvl w:val="0"/>
          <w:numId w:val="38"/>
        </w:numPr>
        <w:rPr>
          <w:rFonts w:ascii="Roboto" w:hAnsi="Roboto"/>
        </w:rPr>
      </w:pPr>
      <w:r w:rsidRPr="003D7AF4">
        <w:rPr>
          <w:rFonts w:ascii="Roboto" w:hAnsi="Roboto"/>
        </w:rPr>
        <w:t>OSHR Equal Employment Opportunity Policy (25 NCAC 01H .0200)</w:t>
      </w:r>
    </w:p>
    <w:p w14:paraId="31DA8042" w14:textId="77777777" w:rsidR="003D7AF4" w:rsidRPr="003D7AF4" w:rsidRDefault="003D7AF4" w:rsidP="003D7AF4">
      <w:pPr>
        <w:numPr>
          <w:ilvl w:val="0"/>
          <w:numId w:val="38"/>
        </w:numPr>
        <w:rPr>
          <w:rFonts w:ascii="Roboto" w:hAnsi="Roboto"/>
        </w:rPr>
      </w:pPr>
      <w:r w:rsidRPr="003D7AF4">
        <w:rPr>
          <w:rFonts w:ascii="Roboto" w:hAnsi="Roboto"/>
        </w:rPr>
        <w:t>NCDPI Professional Development and Licensure Standards</w:t>
      </w:r>
    </w:p>
    <w:p w14:paraId="54DF61D0" w14:textId="76E28D7C" w:rsidR="00C90621" w:rsidRPr="00784B60" w:rsidRDefault="00C90621" w:rsidP="003D7AF4">
      <w:pPr>
        <w:ind w:left="720"/>
        <w:rPr>
          <w:rFonts w:ascii="Roboto" w:hAnsi="Roboto"/>
        </w:rPr>
      </w:pPr>
    </w:p>
    <w:sectPr w:rsidR="00C90621" w:rsidRPr="00784B6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C0D7D" w14:textId="77777777" w:rsidR="002537E4" w:rsidRDefault="002537E4" w:rsidP="00C90621">
      <w:pPr>
        <w:spacing w:after="0" w:line="240" w:lineRule="auto"/>
      </w:pPr>
      <w:r>
        <w:separator/>
      </w:r>
    </w:p>
  </w:endnote>
  <w:endnote w:type="continuationSeparator" w:id="0">
    <w:p w14:paraId="14C27443" w14:textId="77777777" w:rsidR="002537E4" w:rsidRDefault="002537E4" w:rsidP="00C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861F" w14:textId="3340B7B1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5C5A3EF8" w14:textId="4D809770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 xml:space="preserve">Revised: </w:t>
    </w:r>
    <w:r w:rsidR="003F5CB2">
      <w:rPr>
        <w:rFonts w:ascii="Roboto" w:hAnsi="Roboto"/>
        <w:sz w:val="16"/>
        <w:szCs w:val="16"/>
      </w:rPr>
      <w:t>11182025</w:t>
    </w:r>
  </w:p>
  <w:p w14:paraId="2D30F2D6" w14:textId="3E75C04F" w:rsidR="00C90621" w:rsidRPr="00C90621" w:rsidRDefault="00C90621">
    <w:pPr>
      <w:pStyle w:val="Footer"/>
      <w:rPr>
        <w:rFonts w:ascii="Roboto" w:hAnsi="Roboto"/>
        <w:sz w:val="16"/>
        <w:szCs w:val="16"/>
      </w:rPr>
    </w:pPr>
    <w:r w:rsidRPr="00C90621">
      <w:rPr>
        <w:rFonts w:ascii="Roboto" w:hAnsi="Roboto"/>
        <w:sz w:val="16"/>
        <w:szCs w:val="16"/>
      </w:rPr>
      <w:t xml:space="preserve">Page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1</w:t>
    </w:r>
    <w:r w:rsidRPr="00C90621">
      <w:rPr>
        <w:rFonts w:ascii="Roboto" w:hAnsi="Roboto"/>
        <w:b/>
        <w:bCs/>
        <w:sz w:val="16"/>
        <w:szCs w:val="16"/>
      </w:rPr>
      <w:fldChar w:fldCharType="end"/>
    </w:r>
    <w:r w:rsidRPr="00C90621">
      <w:rPr>
        <w:rFonts w:ascii="Roboto" w:hAnsi="Roboto"/>
        <w:sz w:val="16"/>
        <w:szCs w:val="16"/>
      </w:rPr>
      <w:t xml:space="preserve"> of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2</w:t>
    </w:r>
    <w:r w:rsidRPr="00C90621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79EE6" w14:textId="77777777" w:rsidR="002537E4" w:rsidRDefault="002537E4" w:rsidP="00C90621">
      <w:pPr>
        <w:spacing w:after="0" w:line="240" w:lineRule="auto"/>
      </w:pPr>
      <w:r>
        <w:separator/>
      </w:r>
    </w:p>
  </w:footnote>
  <w:footnote w:type="continuationSeparator" w:id="0">
    <w:p w14:paraId="3EBAFF97" w14:textId="77777777" w:rsidR="002537E4" w:rsidRDefault="002537E4" w:rsidP="00C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780915"/>
      <w:docPartObj>
        <w:docPartGallery w:val="Watermarks"/>
        <w:docPartUnique/>
      </w:docPartObj>
    </w:sdtPr>
    <w:sdtContent>
      <w:p w14:paraId="0467CB48" w14:textId="3CFF0F0E" w:rsidR="00C90621" w:rsidRDefault="00000000">
        <w:pPr>
          <w:pStyle w:val="Header"/>
        </w:pPr>
        <w:r>
          <w:rPr>
            <w:noProof/>
          </w:rPr>
          <w:pict w14:anchorId="4DACDF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19CE"/>
    <w:multiLevelType w:val="hybridMultilevel"/>
    <w:tmpl w:val="50C6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2CFE"/>
    <w:multiLevelType w:val="hybridMultilevel"/>
    <w:tmpl w:val="886C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013E"/>
    <w:multiLevelType w:val="multilevel"/>
    <w:tmpl w:val="A91889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0D967198"/>
    <w:multiLevelType w:val="multilevel"/>
    <w:tmpl w:val="4D16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C07A6"/>
    <w:multiLevelType w:val="multilevel"/>
    <w:tmpl w:val="275C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262645"/>
    <w:multiLevelType w:val="hybridMultilevel"/>
    <w:tmpl w:val="C2BC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B336C"/>
    <w:multiLevelType w:val="hybridMultilevel"/>
    <w:tmpl w:val="ECD07838"/>
    <w:lvl w:ilvl="0" w:tplc="66205ADA">
      <w:numFmt w:val="bullet"/>
      <w:lvlText w:val="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F5009C"/>
    <w:multiLevelType w:val="multilevel"/>
    <w:tmpl w:val="41E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CF79CF"/>
    <w:multiLevelType w:val="multilevel"/>
    <w:tmpl w:val="A91889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30130FC5"/>
    <w:multiLevelType w:val="hybridMultilevel"/>
    <w:tmpl w:val="74A68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D0374"/>
    <w:multiLevelType w:val="multilevel"/>
    <w:tmpl w:val="5378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0512D"/>
    <w:multiLevelType w:val="multilevel"/>
    <w:tmpl w:val="E532693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333A6551"/>
    <w:multiLevelType w:val="multilevel"/>
    <w:tmpl w:val="E532693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34D627A5"/>
    <w:multiLevelType w:val="multilevel"/>
    <w:tmpl w:val="3920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F36CD5"/>
    <w:multiLevelType w:val="multilevel"/>
    <w:tmpl w:val="E158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713AC"/>
    <w:multiLevelType w:val="multilevel"/>
    <w:tmpl w:val="A0A2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63AD7"/>
    <w:multiLevelType w:val="hybridMultilevel"/>
    <w:tmpl w:val="3006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6649"/>
    <w:multiLevelType w:val="multilevel"/>
    <w:tmpl w:val="A91889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8" w15:restartNumberingAfterBreak="0">
    <w:nsid w:val="42615574"/>
    <w:multiLevelType w:val="hybridMultilevel"/>
    <w:tmpl w:val="017C5FF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41D6D"/>
    <w:multiLevelType w:val="multilevel"/>
    <w:tmpl w:val="284C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167AF6"/>
    <w:multiLevelType w:val="hybridMultilevel"/>
    <w:tmpl w:val="083E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47D98"/>
    <w:multiLevelType w:val="multilevel"/>
    <w:tmpl w:val="1C9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2D45BB"/>
    <w:multiLevelType w:val="multilevel"/>
    <w:tmpl w:val="9604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A0120A"/>
    <w:multiLevelType w:val="multilevel"/>
    <w:tmpl w:val="8302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9617B3"/>
    <w:multiLevelType w:val="hybridMultilevel"/>
    <w:tmpl w:val="D6FC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664B9"/>
    <w:multiLevelType w:val="multilevel"/>
    <w:tmpl w:val="D4D8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405CDC"/>
    <w:multiLevelType w:val="hybridMultilevel"/>
    <w:tmpl w:val="34A60E32"/>
    <w:lvl w:ilvl="0" w:tplc="0EA67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8780B"/>
    <w:multiLevelType w:val="hybridMultilevel"/>
    <w:tmpl w:val="09CC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05E03"/>
    <w:multiLevelType w:val="hybridMultilevel"/>
    <w:tmpl w:val="B33E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53BB5"/>
    <w:multiLevelType w:val="multilevel"/>
    <w:tmpl w:val="A844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8F6DEC"/>
    <w:multiLevelType w:val="multilevel"/>
    <w:tmpl w:val="9FC62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DC40AC"/>
    <w:multiLevelType w:val="hybridMultilevel"/>
    <w:tmpl w:val="DAA0D266"/>
    <w:lvl w:ilvl="0" w:tplc="66205ADA">
      <w:numFmt w:val="bullet"/>
      <w:lvlText w:val="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D6D05"/>
    <w:multiLevelType w:val="hybridMultilevel"/>
    <w:tmpl w:val="5A38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7630"/>
    <w:multiLevelType w:val="multilevel"/>
    <w:tmpl w:val="B672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CB2D17"/>
    <w:multiLevelType w:val="multilevel"/>
    <w:tmpl w:val="25C2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925AC5"/>
    <w:multiLevelType w:val="hybridMultilevel"/>
    <w:tmpl w:val="F2E60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45F8B"/>
    <w:multiLevelType w:val="multilevel"/>
    <w:tmpl w:val="42B6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FA0EA3"/>
    <w:multiLevelType w:val="multilevel"/>
    <w:tmpl w:val="7DDE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1F0F52"/>
    <w:multiLevelType w:val="hybridMultilevel"/>
    <w:tmpl w:val="CFC655C6"/>
    <w:lvl w:ilvl="0" w:tplc="925A07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55516">
    <w:abstractNumId w:val="33"/>
  </w:num>
  <w:num w:numId="2" w16cid:durableId="1128475638">
    <w:abstractNumId w:val="25"/>
  </w:num>
  <w:num w:numId="3" w16cid:durableId="1418675300">
    <w:abstractNumId w:val="10"/>
  </w:num>
  <w:num w:numId="4" w16cid:durableId="1970893843">
    <w:abstractNumId w:val="37"/>
  </w:num>
  <w:num w:numId="5" w16cid:durableId="1555653813">
    <w:abstractNumId w:val="38"/>
  </w:num>
  <w:num w:numId="6" w16cid:durableId="1867055190">
    <w:abstractNumId w:val="7"/>
  </w:num>
  <w:num w:numId="7" w16cid:durableId="2147315302">
    <w:abstractNumId w:val="18"/>
  </w:num>
  <w:num w:numId="8" w16cid:durableId="1571425037">
    <w:abstractNumId w:val="22"/>
  </w:num>
  <w:num w:numId="9" w16cid:durableId="1822891672">
    <w:abstractNumId w:val="36"/>
  </w:num>
  <w:num w:numId="10" w16cid:durableId="727150828">
    <w:abstractNumId w:val="14"/>
  </w:num>
  <w:num w:numId="11" w16cid:durableId="937518653">
    <w:abstractNumId w:val="34"/>
  </w:num>
  <w:num w:numId="12" w16cid:durableId="714550886">
    <w:abstractNumId w:val="3"/>
  </w:num>
  <w:num w:numId="13" w16cid:durableId="95562996">
    <w:abstractNumId w:val="20"/>
  </w:num>
  <w:num w:numId="14" w16cid:durableId="876353212">
    <w:abstractNumId w:val="24"/>
  </w:num>
  <w:num w:numId="15" w16cid:durableId="592738406">
    <w:abstractNumId w:val="5"/>
  </w:num>
  <w:num w:numId="16" w16cid:durableId="1266882703">
    <w:abstractNumId w:val="21"/>
  </w:num>
  <w:num w:numId="17" w16cid:durableId="1020937288">
    <w:abstractNumId w:val="30"/>
  </w:num>
  <w:num w:numId="18" w16cid:durableId="184025291">
    <w:abstractNumId w:val="13"/>
  </w:num>
  <w:num w:numId="19" w16cid:durableId="1704475836">
    <w:abstractNumId w:val="4"/>
  </w:num>
  <w:num w:numId="20" w16cid:durableId="1110658933">
    <w:abstractNumId w:val="15"/>
  </w:num>
  <w:num w:numId="21" w16cid:durableId="928543381">
    <w:abstractNumId w:val="26"/>
  </w:num>
  <w:num w:numId="22" w16cid:durableId="715084965">
    <w:abstractNumId w:val="0"/>
  </w:num>
  <w:num w:numId="23" w16cid:durableId="1822766808">
    <w:abstractNumId w:val="31"/>
  </w:num>
  <w:num w:numId="24" w16cid:durableId="738361339">
    <w:abstractNumId w:val="6"/>
  </w:num>
  <w:num w:numId="25" w16cid:durableId="396708242">
    <w:abstractNumId w:val="16"/>
  </w:num>
  <w:num w:numId="26" w16cid:durableId="1746220121">
    <w:abstractNumId w:val="35"/>
  </w:num>
  <w:num w:numId="27" w16cid:durableId="1575512053">
    <w:abstractNumId w:val="32"/>
  </w:num>
  <w:num w:numId="28" w16cid:durableId="1948922544">
    <w:abstractNumId w:val="27"/>
  </w:num>
  <w:num w:numId="29" w16cid:durableId="2065249968">
    <w:abstractNumId w:val="9"/>
  </w:num>
  <w:num w:numId="30" w16cid:durableId="1931500960">
    <w:abstractNumId w:val="1"/>
  </w:num>
  <w:num w:numId="31" w16cid:durableId="882786394">
    <w:abstractNumId w:val="23"/>
  </w:num>
  <w:num w:numId="32" w16cid:durableId="691152990">
    <w:abstractNumId w:val="28"/>
  </w:num>
  <w:num w:numId="33" w16cid:durableId="86002480">
    <w:abstractNumId w:val="8"/>
  </w:num>
  <w:num w:numId="34" w16cid:durableId="1061904318">
    <w:abstractNumId w:val="17"/>
  </w:num>
  <w:num w:numId="35" w16cid:durableId="2048555482">
    <w:abstractNumId w:val="11"/>
  </w:num>
  <w:num w:numId="36" w16cid:durableId="2003924957">
    <w:abstractNumId w:val="12"/>
  </w:num>
  <w:num w:numId="37" w16cid:durableId="188640049">
    <w:abstractNumId w:val="2"/>
  </w:num>
  <w:num w:numId="38" w16cid:durableId="2131169970">
    <w:abstractNumId w:val="29"/>
  </w:num>
  <w:num w:numId="39" w16cid:durableId="8128731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1"/>
    <w:rsid w:val="000143A5"/>
    <w:rsid w:val="0002478D"/>
    <w:rsid w:val="0002610D"/>
    <w:rsid w:val="0004114E"/>
    <w:rsid w:val="00042054"/>
    <w:rsid w:val="00076311"/>
    <w:rsid w:val="00081348"/>
    <w:rsid w:val="000826D5"/>
    <w:rsid w:val="00092364"/>
    <w:rsid w:val="000969A1"/>
    <w:rsid w:val="000F3E66"/>
    <w:rsid w:val="000F6E83"/>
    <w:rsid w:val="00102691"/>
    <w:rsid w:val="00110BC7"/>
    <w:rsid w:val="0012402B"/>
    <w:rsid w:val="001302A3"/>
    <w:rsid w:val="001375FF"/>
    <w:rsid w:val="0015155F"/>
    <w:rsid w:val="001661CF"/>
    <w:rsid w:val="00196118"/>
    <w:rsid w:val="001D0E5D"/>
    <w:rsid w:val="002115FF"/>
    <w:rsid w:val="0022755B"/>
    <w:rsid w:val="002300AD"/>
    <w:rsid w:val="00230332"/>
    <w:rsid w:val="002537E4"/>
    <w:rsid w:val="0028647E"/>
    <w:rsid w:val="00293B63"/>
    <w:rsid w:val="002B3438"/>
    <w:rsid w:val="002C70EC"/>
    <w:rsid w:val="002D5579"/>
    <w:rsid w:val="002F478A"/>
    <w:rsid w:val="002F5E66"/>
    <w:rsid w:val="00330DAB"/>
    <w:rsid w:val="00345741"/>
    <w:rsid w:val="003528A3"/>
    <w:rsid w:val="003556B2"/>
    <w:rsid w:val="003B6C80"/>
    <w:rsid w:val="003D05DE"/>
    <w:rsid w:val="003D7AF4"/>
    <w:rsid w:val="003E0F31"/>
    <w:rsid w:val="003E2216"/>
    <w:rsid w:val="003F0308"/>
    <w:rsid w:val="003F186E"/>
    <w:rsid w:val="003F3DE4"/>
    <w:rsid w:val="003F5CB2"/>
    <w:rsid w:val="004454DE"/>
    <w:rsid w:val="00464C3C"/>
    <w:rsid w:val="00465395"/>
    <w:rsid w:val="004A3668"/>
    <w:rsid w:val="004B503D"/>
    <w:rsid w:val="004B5CB8"/>
    <w:rsid w:val="004C0416"/>
    <w:rsid w:val="004C0CEF"/>
    <w:rsid w:val="004C33C7"/>
    <w:rsid w:val="004D73F1"/>
    <w:rsid w:val="00502C19"/>
    <w:rsid w:val="005321D9"/>
    <w:rsid w:val="005324E6"/>
    <w:rsid w:val="00540394"/>
    <w:rsid w:val="00575573"/>
    <w:rsid w:val="00587E73"/>
    <w:rsid w:val="005A39E0"/>
    <w:rsid w:val="005B518B"/>
    <w:rsid w:val="005D6D45"/>
    <w:rsid w:val="005E5678"/>
    <w:rsid w:val="00601E01"/>
    <w:rsid w:val="006155AD"/>
    <w:rsid w:val="0061798A"/>
    <w:rsid w:val="00651814"/>
    <w:rsid w:val="00657939"/>
    <w:rsid w:val="00662920"/>
    <w:rsid w:val="0067402B"/>
    <w:rsid w:val="006747CE"/>
    <w:rsid w:val="00691FA8"/>
    <w:rsid w:val="006A1282"/>
    <w:rsid w:val="006A64DB"/>
    <w:rsid w:val="006E3808"/>
    <w:rsid w:val="00737B3F"/>
    <w:rsid w:val="00744E02"/>
    <w:rsid w:val="00784B60"/>
    <w:rsid w:val="00812491"/>
    <w:rsid w:val="00860C77"/>
    <w:rsid w:val="008654E1"/>
    <w:rsid w:val="008A3FA3"/>
    <w:rsid w:val="008C2BD6"/>
    <w:rsid w:val="008E3B64"/>
    <w:rsid w:val="00925945"/>
    <w:rsid w:val="00946A49"/>
    <w:rsid w:val="009870A3"/>
    <w:rsid w:val="009A1191"/>
    <w:rsid w:val="00A072BC"/>
    <w:rsid w:val="00A44DD3"/>
    <w:rsid w:val="00A460E3"/>
    <w:rsid w:val="00AB7775"/>
    <w:rsid w:val="00B02C3C"/>
    <w:rsid w:val="00B41398"/>
    <w:rsid w:val="00B51828"/>
    <w:rsid w:val="00B5730D"/>
    <w:rsid w:val="00C8280D"/>
    <w:rsid w:val="00C86E25"/>
    <w:rsid w:val="00C90621"/>
    <w:rsid w:val="00CD0190"/>
    <w:rsid w:val="00CD230C"/>
    <w:rsid w:val="00CE605C"/>
    <w:rsid w:val="00CF27EC"/>
    <w:rsid w:val="00D06D71"/>
    <w:rsid w:val="00D47807"/>
    <w:rsid w:val="00D67F56"/>
    <w:rsid w:val="00D72F56"/>
    <w:rsid w:val="00D841FF"/>
    <w:rsid w:val="00DB4F39"/>
    <w:rsid w:val="00DB66D7"/>
    <w:rsid w:val="00DF1207"/>
    <w:rsid w:val="00E057C1"/>
    <w:rsid w:val="00E22530"/>
    <w:rsid w:val="00E3425C"/>
    <w:rsid w:val="00E43781"/>
    <w:rsid w:val="00E56F9F"/>
    <w:rsid w:val="00E71B90"/>
    <w:rsid w:val="00E74378"/>
    <w:rsid w:val="00ED6123"/>
    <w:rsid w:val="00EE0F0C"/>
    <w:rsid w:val="00F20D83"/>
    <w:rsid w:val="00F469F4"/>
    <w:rsid w:val="00F76AC4"/>
    <w:rsid w:val="00F9676D"/>
    <w:rsid w:val="00FA2C08"/>
    <w:rsid w:val="00FE25D1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1309"/>
  <w15:chartTrackingRefBased/>
  <w15:docId w15:val="{6278C7AF-E2A7-4595-ACB5-EF419D4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21"/>
  </w:style>
  <w:style w:type="paragraph" w:styleId="Heading1">
    <w:name w:val="heading 1"/>
    <w:basedOn w:val="Normal"/>
    <w:next w:val="Normal"/>
    <w:link w:val="Heading1Char"/>
    <w:uiPriority w:val="9"/>
    <w:qFormat/>
    <w:rsid w:val="00C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21"/>
  </w:style>
  <w:style w:type="paragraph" w:styleId="Footer">
    <w:name w:val="footer"/>
    <w:basedOn w:val="Normal"/>
    <w:link w:val="Foot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21"/>
  </w:style>
  <w:style w:type="paragraph" w:styleId="NormalWeb">
    <w:name w:val="Normal (Web)"/>
    <w:basedOn w:val="Normal"/>
    <w:uiPriority w:val="99"/>
    <w:unhideWhenUsed/>
    <w:rsid w:val="007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4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2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08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05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56</cp:revision>
  <dcterms:created xsi:type="dcterms:W3CDTF">2025-06-25T20:12:00Z</dcterms:created>
  <dcterms:modified xsi:type="dcterms:W3CDTF">2025-11-18T20:21:00Z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2025-06-23T21:03:54Z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5b5f0e36-0cb7-4190-a5fc-30f7c2803981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